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5FA4" w14:textId="77777777" w:rsidR="000E158A" w:rsidRDefault="000E158A" w:rsidP="00FE681E">
      <w:pPr>
        <w:spacing w:line="276" w:lineRule="auto"/>
        <w:jc w:val="center"/>
        <w:rPr>
          <w:rFonts w:ascii="Arial" w:hAnsi="Arial" w:cs="Arial"/>
          <w:b/>
          <w:sz w:val="27"/>
          <w:szCs w:val="27"/>
        </w:rPr>
      </w:pPr>
      <w:r>
        <w:rPr>
          <w:noProof/>
        </w:rPr>
        <w:drawing>
          <wp:inline distT="0" distB="0" distL="0" distR="0" wp14:anchorId="4A6292C3" wp14:editId="42A51D21">
            <wp:extent cx="959463" cy="1000125"/>
            <wp:effectExtent l="0" t="0" r="0" b="0"/>
            <wp:docPr id="1" name="Picture 1" descr="C:\Documents and Settings\amber.king\Desktop\Dropbox\Dropbox\regentsLogo-blue300dp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ber.king\Desktop\Dropbox\Dropbox\regentsLogo-blue300dpi copy.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77664" cy="1019097"/>
                    </a:xfrm>
                    <a:prstGeom prst="rect">
                      <a:avLst/>
                    </a:prstGeom>
                    <a:noFill/>
                    <a:ln>
                      <a:noFill/>
                    </a:ln>
                  </pic:spPr>
                </pic:pic>
              </a:graphicData>
            </a:graphic>
          </wp:inline>
        </w:drawing>
      </w:r>
    </w:p>
    <w:p w14:paraId="7055E0D4" w14:textId="77777777" w:rsidR="00AD06B1" w:rsidRDefault="00AD06B1" w:rsidP="00FE681E">
      <w:pPr>
        <w:spacing w:line="276" w:lineRule="auto"/>
        <w:jc w:val="center"/>
        <w:rPr>
          <w:rFonts w:ascii="Arial" w:hAnsi="Arial" w:cs="Arial"/>
          <w:b/>
          <w:sz w:val="27"/>
          <w:szCs w:val="27"/>
        </w:rPr>
      </w:pPr>
      <w:r>
        <w:rPr>
          <w:rFonts w:ascii="Arial" w:hAnsi="Arial" w:cs="Arial"/>
          <w:b/>
          <w:sz w:val="27"/>
          <w:szCs w:val="27"/>
        </w:rPr>
        <w:t>Academic Affairs Policy 2.22</w:t>
      </w:r>
    </w:p>
    <w:p w14:paraId="299F2572" w14:textId="77777777" w:rsidR="00AD06B1" w:rsidRDefault="00AD06B1" w:rsidP="00B56F52">
      <w:pPr>
        <w:spacing w:line="276" w:lineRule="auto"/>
        <w:jc w:val="center"/>
        <w:rPr>
          <w:rFonts w:ascii="Arial" w:hAnsi="Arial" w:cs="Arial"/>
          <w:b/>
          <w:sz w:val="27"/>
          <w:szCs w:val="27"/>
        </w:rPr>
      </w:pPr>
      <w:r>
        <w:rPr>
          <w:rFonts w:ascii="Arial" w:hAnsi="Arial" w:cs="Arial"/>
          <w:b/>
          <w:sz w:val="27"/>
          <w:szCs w:val="27"/>
        </w:rPr>
        <w:t xml:space="preserve">Minimum Requirements for </w:t>
      </w:r>
      <w:r w:rsidRPr="00211F52">
        <w:rPr>
          <w:rFonts w:ascii="Arial" w:hAnsi="Arial" w:cs="Arial"/>
          <w:b/>
          <w:sz w:val="27"/>
          <w:szCs w:val="27"/>
        </w:rPr>
        <w:t>Dual Enrollment</w:t>
      </w:r>
    </w:p>
    <w:p w14:paraId="596C46C7" w14:textId="77777777" w:rsidR="00AD06B1" w:rsidRPr="000E158A" w:rsidRDefault="00AD06B1" w:rsidP="00B56F52">
      <w:pPr>
        <w:spacing w:line="276" w:lineRule="auto"/>
        <w:jc w:val="center"/>
        <w:rPr>
          <w:rFonts w:ascii="Arial" w:hAnsi="Arial" w:cs="Arial"/>
          <w:sz w:val="27"/>
          <w:szCs w:val="27"/>
        </w:rPr>
      </w:pPr>
      <w:r w:rsidRPr="000E158A">
        <w:rPr>
          <w:rFonts w:ascii="Arial" w:hAnsi="Arial" w:cs="Arial"/>
          <w:szCs w:val="27"/>
        </w:rPr>
        <w:t>Public Postsecondary Quality Guidelines</w:t>
      </w:r>
    </w:p>
    <w:p w14:paraId="29E41B42" w14:textId="77777777" w:rsidR="00AD06B1" w:rsidRPr="000E15A2" w:rsidRDefault="00AD06B1" w:rsidP="00AD06B1">
      <w:pPr>
        <w:spacing w:line="276" w:lineRule="auto"/>
        <w:jc w:val="center"/>
        <w:rPr>
          <w:rFonts w:ascii="Arial" w:hAnsi="Arial" w:cs="Arial"/>
          <w:b/>
          <w:sz w:val="28"/>
        </w:rPr>
      </w:pPr>
    </w:p>
    <w:p w14:paraId="2EF67A16" w14:textId="77777777" w:rsidR="00AD06B1" w:rsidRPr="00A4643D" w:rsidRDefault="00AD06B1" w:rsidP="000E158A">
      <w:pPr>
        <w:tabs>
          <w:tab w:val="left" w:pos="5916"/>
        </w:tabs>
        <w:spacing w:line="276" w:lineRule="auto"/>
        <w:rPr>
          <w:rFonts w:ascii="Arial" w:hAnsi="Arial" w:cs="Arial"/>
          <w:sz w:val="20"/>
        </w:rPr>
      </w:pPr>
      <w:r w:rsidRPr="007926F1">
        <w:rPr>
          <w:rFonts w:ascii="Arial" w:hAnsi="Arial" w:cs="Arial"/>
          <w:b/>
          <w:u w:val="single"/>
        </w:rPr>
        <w:t>Purpose</w:t>
      </w:r>
      <w:r w:rsidRPr="000E15A2">
        <w:rPr>
          <w:rFonts w:ascii="Arial" w:hAnsi="Arial" w:cs="Arial"/>
          <w:b/>
        </w:rPr>
        <w:t xml:space="preserve">:  </w:t>
      </w:r>
      <w:r w:rsidRPr="00A4643D">
        <w:rPr>
          <w:rFonts w:ascii="Arial" w:hAnsi="Arial" w:cs="Arial"/>
          <w:sz w:val="20"/>
        </w:rPr>
        <w:t xml:space="preserve">To ensure quality and transferability of dual enrollment courses. </w:t>
      </w:r>
    </w:p>
    <w:p w14:paraId="40B65FEE" w14:textId="77777777" w:rsidR="00AD06B1" w:rsidRDefault="00AD06B1" w:rsidP="00D42BAF">
      <w:pPr>
        <w:tabs>
          <w:tab w:val="left" w:pos="5916"/>
        </w:tabs>
        <w:ind w:left="432"/>
        <w:rPr>
          <w:rFonts w:ascii="Arial" w:hAnsi="Arial" w:cs="Arial"/>
          <w:sz w:val="20"/>
        </w:rPr>
      </w:pPr>
      <w:r w:rsidRPr="00D76EFF">
        <w:rPr>
          <w:rFonts w:ascii="Arial" w:hAnsi="Arial" w:cs="Arial"/>
          <w:sz w:val="20"/>
          <w:u w:val="single"/>
        </w:rPr>
        <w:t>Dual Enrollment</w:t>
      </w:r>
      <w:r>
        <w:rPr>
          <w:rFonts w:ascii="Arial" w:hAnsi="Arial" w:cs="Arial"/>
          <w:sz w:val="20"/>
        </w:rPr>
        <w:t xml:space="preserve"> is the</w:t>
      </w:r>
      <w:r w:rsidRPr="00A4643D">
        <w:rPr>
          <w:rFonts w:ascii="Arial" w:hAnsi="Arial" w:cs="Arial"/>
          <w:sz w:val="20"/>
        </w:rPr>
        <w:t xml:space="preserve"> enrollment of a high school</w:t>
      </w:r>
      <w:r>
        <w:rPr>
          <w:rFonts w:ascii="Arial" w:hAnsi="Arial" w:cs="Arial"/>
          <w:sz w:val="20"/>
        </w:rPr>
        <w:t xml:space="preserve"> (HS)</w:t>
      </w:r>
      <w:r w:rsidRPr="00A4643D">
        <w:rPr>
          <w:rFonts w:ascii="Arial" w:hAnsi="Arial" w:cs="Arial"/>
          <w:sz w:val="20"/>
        </w:rPr>
        <w:t xml:space="preserve"> student in a college course for which dual credit (both college and </w:t>
      </w:r>
      <w:r>
        <w:rPr>
          <w:rFonts w:ascii="Arial" w:hAnsi="Arial" w:cs="Arial"/>
          <w:sz w:val="20"/>
        </w:rPr>
        <w:t>HS</w:t>
      </w:r>
      <w:r w:rsidRPr="00A4643D">
        <w:rPr>
          <w:rFonts w:ascii="Arial" w:hAnsi="Arial" w:cs="Arial"/>
          <w:sz w:val="20"/>
        </w:rPr>
        <w:t xml:space="preserve"> credit) is attempted and recorded on both the student’s secondary and postsecondary academic record. A college course offered for Dual Enrollment is: (1) a</w:t>
      </w:r>
      <w:r>
        <w:rPr>
          <w:rFonts w:ascii="Arial" w:hAnsi="Arial" w:cs="Arial"/>
          <w:sz w:val="20"/>
        </w:rPr>
        <w:t>n on-site or online</w:t>
      </w:r>
      <w:r w:rsidRPr="00A4643D">
        <w:rPr>
          <w:rFonts w:ascii="Arial" w:hAnsi="Arial" w:cs="Arial"/>
          <w:sz w:val="20"/>
        </w:rPr>
        <w:t xml:space="preserve"> college course taught by the postsecondary institution, or (2) a specially scheduled college course taught at the high school. Postsecondary institutions must adhere to BoR Policy and must comply with all accreditation requirements for awarding credit.</w:t>
      </w:r>
    </w:p>
    <w:p w14:paraId="2F8B014F" w14:textId="77777777" w:rsidR="009B5ECE" w:rsidRPr="00A4643D" w:rsidRDefault="009B5ECE" w:rsidP="00D42BAF">
      <w:pPr>
        <w:tabs>
          <w:tab w:val="left" w:pos="5916"/>
        </w:tabs>
        <w:ind w:left="432"/>
        <w:rPr>
          <w:rFonts w:ascii="Arial" w:hAnsi="Arial" w:cs="Arial"/>
          <w:sz w:val="20"/>
        </w:rPr>
      </w:pPr>
    </w:p>
    <w:p w14:paraId="02BDF0FF" w14:textId="77777777" w:rsidR="00AD06B1" w:rsidRPr="00A4643D" w:rsidRDefault="00AD06B1" w:rsidP="00D42BAF">
      <w:pPr>
        <w:tabs>
          <w:tab w:val="left" w:pos="5916"/>
        </w:tabs>
        <w:spacing w:after="120"/>
        <w:rPr>
          <w:rFonts w:ascii="Arial" w:hAnsi="Arial" w:cs="Arial"/>
          <w:b/>
          <w:sz w:val="20"/>
        </w:rPr>
      </w:pPr>
      <w:r w:rsidRPr="00A4643D">
        <w:rPr>
          <w:rFonts w:ascii="Arial" w:hAnsi="Arial" w:cs="Arial"/>
          <w:b/>
          <w:u w:val="single"/>
        </w:rPr>
        <w:t>Course Content, Rigor</w:t>
      </w:r>
      <w:r w:rsidRPr="00A4643D">
        <w:rPr>
          <w:rFonts w:ascii="Arial" w:hAnsi="Arial" w:cs="Arial"/>
          <w:b/>
          <w:sz w:val="20"/>
        </w:rPr>
        <w:t xml:space="preserve">. </w:t>
      </w:r>
      <w:r w:rsidRPr="00A4643D">
        <w:rPr>
          <w:rFonts w:ascii="Arial" w:hAnsi="Arial" w:cs="Arial"/>
          <w:sz w:val="20"/>
        </w:rPr>
        <w:t>Collaborative agreements between secondary and postsecondary institutions for the delivery of dual enrollment courses should address curricular oversight and rigor, faculty standards, and student mix, specifically indicat</w:t>
      </w:r>
      <w:r>
        <w:rPr>
          <w:rFonts w:ascii="Arial" w:hAnsi="Arial" w:cs="Arial"/>
          <w:sz w:val="20"/>
        </w:rPr>
        <w:t>ing</w:t>
      </w:r>
      <w:r w:rsidRPr="00A4643D">
        <w:rPr>
          <w:rFonts w:ascii="Arial" w:hAnsi="Arial" w:cs="Arial"/>
          <w:sz w:val="20"/>
        </w:rPr>
        <w:t xml:space="preserve"> that dual credit courses </w:t>
      </w:r>
      <w:r>
        <w:rPr>
          <w:rFonts w:ascii="Arial" w:hAnsi="Arial" w:cs="Arial"/>
          <w:sz w:val="20"/>
        </w:rPr>
        <w:t xml:space="preserve">are clearly at the collegiate level and </w:t>
      </w:r>
      <w:r w:rsidRPr="00A4643D">
        <w:rPr>
          <w:rFonts w:ascii="Arial" w:hAnsi="Arial" w:cs="Arial"/>
          <w:sz w:val="20"/>
        </w:rPr>
        <w:t>reflect the standards of postsecondary work.</w:t>
      </w:r>
    </w:p>
    <w:p w14:paraId="4BD30A14" w14:textId="77777777" w:rsidR="00AD06B1" w:rsidRPr="00A4643D" w:rsidRDefault="00AD06B1" w:rsidP="00D42BAF">
      <w:pPr>
        <w:pStyle w:val="ListParagraph"/>
        <w:widowControl/>
        <w:numPr>
          <w:ilvl w:val="0"/>
          <w:numId w:val="14"/>
        </w:numPr>
        <w:spacing w:after="120" w:line="240" w:lineRule="auto"/>
        <w:contextualSpacing w:val="0"/>
        <w:rPr>
          <w:rFonts w:ascii="Arial" w:hAnsi="Arial" w:cs="Arial"/>
          <w:sz w:val="20"/>
          <w:szCs w:val="20"/>
        </w:rPr>
      </w:pPr>
      <w:r w:rsidRPr="00A4643D">
        <w:rPr>
          <w:rFonts w:ascii="Arial" w:hAnsi="Arial" w:cs="Arial"/>
          <w:sz w:val="20"/>
          <w:szCs w:val="20"/>
        </w:rPr>
        <w:t xml:space="preserve">Student outcomes listed on the syllabus, midterms, and finals must, at minimum, be identical to what is offered and expected on the college campus. Variations in the syllabus may be allowed to accommodate the needs of the high school or the matching </w:t>
      </w:r>
      <w:r>
        <w:rPr>
          <w:rFonts w:ascii="Arial" w:hAnsi="Arial" w:cs="Arial"/>
          <w:sz w:val="20"/>
          <w:szCs w:val="20"/>
        </w:rPr>
        <w:t>HS</w:t>
      </w:r>
      <w:r w:rsidRPr="00A4643D">
        <w:rPr>
          <w:rFonts w:ascii="Arial" w:hAnsi="Arial" w:cs="Arial"/>
          <w:sz w:val="20"/>
          <w:szCs w:val="20"/>
        </w:rPr>
        <w:t xml:space="preserve"> course, but such variations cannot negatively impact student outcomes, midterms, or finals in the college-credit course. </w:t>
      </w:r>
    </w:p>
    <w:p w14:paraId="7A3677E2" w14:textId="77777777" w:rsidR="00AD06B1" w:rsidRPr="00A4643D" w:rsidRDefault="00AD06B1" w:rsidP="00D42BAF">
      <w:pPr>
        <w:pStyle w:val="ListParagraph"/>
        <w:widowControl/>
        <w:numPr>
          <w:ilvl w:val="0"/>
          <w:numId w:val="14"/>
        </w:numPr>
        <w:spacing w:after="120" w:line="240" w:lineRule="auto"/>
        <w:contextualSpacing w:val="0"/>
        <w:rPr>
          <w:rFonts w:ascii="Arial" w:hAnsi="Arial" w:cs="Arial"/>
          <w:sz w:val="20"/>
          <w:szCs w:val="20"/>
        </w:rPr>
      </w:pPr>
      <w:r w:rsidRPr="00A4643D">
        <w:rPr>
          <w:rFonts w:ascii="Arial" w:hAnsi="Arial" w:cs="Arial"/>
          <w:sz w:val="20"/>
          <w:szCs w:val="20"/>
        </w:rPr>
        <w:t xml:space="preserve">Assignments, midterms, and finals </w:t>
      </w:r>
      <w:r>
        <w:rPr>
          <w:rFonts w:ascii="Arial" w:hAnsi="Arial" w:cs="Arial"/>
          <w:sz w:val="20"/>
          <w:szCs w:val="20"/>
        </w:rPr>
        <w:t>must be</w:t>
      </w:r>
      <w:r w:rsidRPr="00A4643D">
        <w:rPr>
          <w:rFonts w:ascii="Arial" w:hAnsi="Arial" w:cs="Arial"/>
          <w:sz w:val="20"/>
          <w:szCs w:val="20"/>
        </w:rPr>
        <w:t xml:space="preserve"> graded at a college level for the college credit, regardless of course delivery </w:t>
      </w:r>
      <w:r>
        <w:rPr>
          <w:rFonts w:ascii="Arial" w:hAnsi="Arial" w:cs="Arial"/>
          <w:sz w:val="20"/>
          <w:szCs w:val="20"/>
        </w:rPr>
        <w:t xml:space="preserve">method, </w:t>
      </w:r>
      <w:r w:rsidRPr="00A4643D">
        <w:rPr>
          <w:rFonts w:ascii="Arial" w:hAnsi="Arial" w:cs="Arial"/>
          <w:sz w:val="20"/>
          <w:szCs w:val="20"/>
        </w:rPr>
        <w:t>location, instructor, facilitator or process. Grades awarded may differ between what is on the secondary transcript and what is on the postsecondary transcript if the HS measures differ from those of the college/university.</w:t>
      </w:r>
    </w:p>
    <w:p w14:paraId="16A2090C" w14:textId="77777777" w:rsidR="00AD06B1" w:rsidRDefault="00AD06B1" w:rsidP="00D42BAF">
      <w:pPr>
        <w:pStyle w:val="ListParagraph"/>
        <w:widowControl/>
        <w:numPr>
          <w:ilvl w:val="0"/>
          <w:numId w:val="14"/>
        </w:numPr>
        <w:tabs>
          <w:tab w:val="left" w:pos="5916"/>
        </w:tabs>
        <w:spacing w:after="0" w:line="240" w:lineRule="auto"/>
        <w:rPr>
          <w:rFonts w:ascii="Arial" w:hAnsi="Arial" w:cs="Arial"/>
          <w:sz w:val="20"/>
          <w:szCs w:val="20"/>
        </w:rPr>
      </w:pPr>
      <w:r>
        <w:rPr>
          <w:rFonts w:ascii="Arial" w:hAnsi="Arial" w:cs="Arial"/>
          <w:sz w:val="20"/>
          <w:szCs w:val="20"/>
        </w:rPr>
        <w:t>A</w:t>
      </w:r>
      <w:r w:rsidRPr="00A4643D">
        <w:rPr>
          <w:rFonts w:ascii="Arial" w:hAnsi="Arial" w:cs="Arial"/>
          <w:sz w:val="20"/>
          <w:szCs w:val="20"/>
        </w:rPr>
        <w:t xml:space="preserve">cademic </w:t>
      </w:r>
      <w:r>
        <w:rPr>
          <w:rFonts w:ascii="Arial" w:hAnsi="Arial" w:cs="Arial"/>
          <w:sz w:val="20"/>
          <w:szCs w:val="20"/>
        </w:rPr>
        <w:t>(</w:t>
      </w:r>
      <w:proofErr w:type="spellStart"/>
      <w:r>
        <w:rPr>
          <w:rFonts w:ascii="Arial" w:hAnsi="Arial" w:cs="Arial"/>
          <w:sz w:val="20"/>
          <w:szCs w:val="20"/>
        </w:rPr>
        <w:t>GenEd</w:t>
      </w:r>
      <w:proofErr w:type="spellEnd"/>
      <w:r>
        <w:rPr>
          <w:rFonts w:ascii="Arial" w:hAnsi="Arial" w:cs="Arial"/>
          <w:sz w:val="20"/>
          <w:szCs w:val="20"/>
        </w:rPr>
        <w:t xml:space="preserve">/transfer) </w:t>
      </w:r>
      <w:r w:rsidRPr="00A4643D">
        <w:rPr>
          <w:rFonts w:ascii="Arial" w:hAnsi="Arial" w:cs="Arial"/>
          <w:sz w:val="20"/>
          <w:szCs w:val="20"/>
        </w:rPr>
        <w:t xml:space="preserve">courses </w:t>
      </w:r>
      <w:r>
        <w:rPr>
          <w:rFonts w:ascii="Arial" w:hAnsi="Arial" w:cs="Arial"/>
          <w:sz w:val="20"/>
          <w:szCs w:val="20"/>
        </w:rPr>
        <w:t>must</w:t>
      </w:r>
      <w:r w:rsidRPr="00A4643D">
        <w:rPr>
          <w:rFonts w:ascii="Arial" w:hAnsi="Arial" w:cs="Arial"/>
          <w:sz w:val="20"/>
          <w:szCs w:val="20"/>
        </w:rPr>
        <w:t xml:space="preserve"> be listed on the </w:t>
      </w:r>
      <w:r>
        <w:rPr>
          <w:rFonts w:ascii="Arial" w:hAnsi="Arial" w:cs="Arial"/>
          <w:sz w:val="20"/>
          <w:szCs w:val="20"/>
        </w:rPr>
        <w:t>Master</w:t>
      </w:r>
      <w:r w:rsidRPr="00A4643D">
        <w:rPr>
          <w:rFonts w:ascii="Arial" w:hAnsi="Arial" w:cs="Arial"/>
          <w:sz w:val="20"/>
          <w:szCs w:val="20"/>
        </w:rPr>
        <w:t xml:space="preserve"> Articulation Matrix, with Common Course Number listed on the syllabus so that students will know where and how the course will transfer.</w:t>
      </w:r>
      <w:r>
        <w:rPr>
          <w:rFonts w:ascii="Arial" w:hAnsi="Arial" w:cs="Arial"/>
          <w:sz w:val="20"/>
          <w:szCs w:val="20"/>
        </w:rPr>
        <w:t xml:space="preserve"> (Exceptions may be made for students who have advanced beyond the matrix.)</w:t>
      </w:r>
    </w:p>
    <w:p w14:paraId="6141D338" w14:textId="77777777" w:rsidR="009B5ECE" w:rsidRPr="00A4643D" w:rsidRDefault="009B5ECE" w:rsidP="00D42BAF">
      <w:pPr>
        <w:pStyle w:val="ListParagraph"/>
        <w:widowControl/>
        <w:tabs>
          <w:tab w:val="left" w:pos="5916"/>
        </w:tabs>
        <w:spacing w:after="0" w:line="240" w:lineRule="auto"/>
        <w:rPr>
          <w:rFonts w:ascii="Arial" w:hAnsi="Arial" w:cs="Arial"/>
          <w:sz w:val="20"/>
          <w:szCs w:val="20"/>
        </w:rPr>
      </w:pPr>
    </w:p>
    <w:p w14:paraId="3550FE96" w14:textId="77777777" w:rsidR="00AD06B1" w:rsidRPr="00A4643D" w:rsidRDefault="00AD06B1" w:rsidP="00D42BAF">
      <w:pPr>
        <w:tabs>
          <w:tab w:val="left" w:pos="5916"/>
        </w:tabs>
        <w:spacing w:after="120"/>
        <w:rPr>
          <w:rFonts w:ascii="Arial" w:hAnsi="Arial" w:cs="Arial"/>
          <w:sz w:val="20"/>
        </w:rPr>
      </w:pPr>
      <w:r w:rsidRPr="00A4643D">
        <w:rPr>
          <w:rFonts w:ascii="Arial" w:hAnsi="Arial" w:cs="Arial"/>
          <w:b/>
          <w:u w:val="single"/>
        </w:rPr>
        <w:t>Student Eligibility</w:t>
      </w:r>
      <w:r w:rsidRPr="009B5ECE">
        <w:rPr>
          <w:rStyle w:val="FootnoteReference"/>
          <w:rFonts w:ascii="Arial" w:hAnsi="Arial" w:cs="Arial"/>
          <w:sz w:val="22"/>
          <w:u w:val="single"/>
          <w:vertAlign w:val="superscript"/>
        </w:rPr>
        <w:footnoteReference w:id="1"/>
      </w:r>
      <w:r w:rsidRPr="00A4643D">
        <w:rPr>
          <w:rFonts w:ascii="Arial" w:hAnsi="Arial" w:cs="Arial"/>
          <w:sz w:val="20"/>
        </w:rPr>
        <w:t xml:space="preserve">. Because </w:t>
      </w:r>
      <w:r>
        <w:rPr>
          <w:rFonts w:ascii="Arial" w:hAnsi="Arial" w:cs="Arial"/>
          <w:sz w:val="20"/>
        </w:rPr>
        <w:t>HS</w:t>
      </w:r>
      <w:r w:rsidRPr="00A4643D">
        <w:rPr>
          <w:rFonts w:ascii="Arial" w:hAnsi="Arial" w:cs="Arial"/>
          <w:sz w:val="20"/>
        </w:rPr>
        <w:t xml:space="preserve"> students, in most cases, have not had the degree of exposure to academic course content that a freshman student would have experienced through completing the</w:t>
      </w:r>
      <w:r>
        <w:rPr>
          <w:rFonts w:ascii="Arial" w:hAnsi="Arial" w:cs="Arial"/>
          <w:sz w:val="20"/>
        </w:rPr>
        <w:t xml:space="preserve"> Regents’ </w:t>
      </w:r>
      <w:r w:rsidRPr="00A4643D">
        <w:rPr>
          <w:rFonts w:ascii="Arial" w:hAnsi="Arial" w:cs="Arial"/>
          <w:sz w:val="20"/>
        </w:rPr>
        <w:t xml:space="preserve">academic </w:t>
      </w:r>
      <w:r>
        <w:rPr>
          <w:rFonts w:ascii="Arial" w:hAnsi="Arial" w:cs="Arial"/>
          <w:sz w:val="20"/>
        </w:rPr>
        <w:t>(</w:t>
      </w:r>
      <w:r w:rsidRPr="008428BA">
        <w:rPr>
          <w:rFonts w:ascii="Arial" w:hAnsi="Arial" w:cs="Arial"/>
          <w:i/>
          <w:sz w:val="20"/>
        </w:rPr>
        <w:t>TOPS-University</w:t>
      </w:r>
      <w:r>
        <w:rPr>
          <w:rFonts w:ascii="Arial" w:hAnsi="Arial" w:cs="Arial"/>
          <w:sz w:val="20"/>
        </w:rPr>
        <w:t xml:space="preserve">) </w:t>
      </w:r>
      <w:r w:rsidRPr="00A4643D">
        <w:rPr>
          <w:rFonts w:ascii="Arial" w:hAnsi="Arial" w:cs="Arial"/>
          <w:sz w:val="20"/>
        </w:rPr>
        <w:t>core, it is logical that eligibility requirements for Matrix courses would be slightly more specific in demonstrating readiness</w:t>
      </w:r>
      <w:r>
        <w:rPr>
          <w:rFonts w:ascii="Arial" w:hAnsi="Arial" w:cs="Arial"/>
          <w:sz w:val="20"/>
        </w:rPr>
        <w:t xml:space="preserve"> for college-level work</w:t>
      </w:r>
      <w:r w:rsidRPr="00A4643D">
        <w:rPr>
          <w:rFonts w:ascii="Arial" w:hAnsi="Arial" w:cs="Arial"/>
          <w:sz w:val="20"/>
        </w:rPr>
        <w:t xml:space="preserve">. Students must meet any eligibility requirements the postsecondary institution designates, including prerequisites, placement measures, etc., in addition to </w:t>
      </w:r>
      <w:r w:rsidRPr="00A4643D">
        <w:rPr>
          <w:rFonts w:ascii="Arial" w:hAnsi="Arial" w:cs="Arial"/>
          <w:i/>
          <w:sz w:val="20"/>
        </w:rPr>
        <w:t>minimum</w:t>
      </w:r>
      <w:r w:rsidRPr="00A4643D">
        <w:rPr>
          <w:rFonts w:ascii="Arial" w:hAnsi="Arial" w:cs="Arial"/>
          <w:sz w:val="20"/>
        </w:rPr>
        <w:t xml:space="preserve"> requirements outlined below. </w:t>
      </w:r>
      <w:r w:rsidRPr="00490E62">
        <w:rPr>
          <w:rFonts w:ascii="Arial" w:hAnsi="Arial" w:cs="Arial"/>
          <w:i/>
          <w:sz w:val="20"/>
        </w:rPr>
        <w:t>Minimum requirements may be increased by the postsecondary institution for particular courses or for dual enrollment, in general</w:t>
      </w:r>
      <w:r w:rsidRPr="00A4643D">
        <w:rPr>
          <w:rFonts w:ascii="Arial" w:hAnsi="Arial" w:cs="Arial"/>
          <w:sz w:val="20"/>
        </w:rPr>
        <w:t>.</w:t>
      </w:r>
    </w:p>
    <w:p w14:paraId="7F4381E7" w14:textId="77777777" w:rsidR="00AD06B1" w:rsidRPr="00A4643D" w:rsidRDefault="00AD06B1" w:rsidP="00D42BAF">
      <w:pPr>
        <w:spacing w:after="120"/>
        <w:rPr>
          <w:rFonts w:ascii="Arial" w:hAnsi="Arial" w:cs="Arial"/>
          <w:b/>
        </w:rPr>
      </w:pPr>
      <w:r w:rsidRPr="00A4643D">
        <w:rPr>
          <w:rFonts w:ascii="Arial" w:hAnsi="Arial" w:cs="Arial"/>
          <w:b/>
        </w:rPr>
        <w:t xml:space="preserve">Academic Courses </w:t>
      </w:r>
      <w:r w:rsidRPr="00A4643D">
        <w:rPr>
          <w:rFonts w:ascii="Arial" w:hAnsi="Arial" w:cs="Arial"/>
          <w:b/>
          <w:sz w:val="21"/>
          <w:szCs w:val="21"/>
        </w:rPr>
        <w:t>(Master Articulation Matrix)</w:t>
      </w:r>
      <w:r w:rsidRPr="00A4643D">
        <w:rPr>
          <w:rFonts w:ascii="Arial" w:hAnsi="Arial" w:cs="Arial"/>
          <w:b/>
        </w:rPr>
        <w:t xml:space="preserve"> </w:t>
      </w:r>
    </w:p>
    <w:p w14:paraId="5BDB6AB6" w14:textId="77777777" w:rsidR="00AD06B1" w:rsidRDefault="00993A9F" w:rsidP="00D42BAF">
      <w:pPr>
        <w:pStyle w:val="ListParagraph"/>
        <w:widowControl/>
        <w:spacing w:after="120" w:line="240" w:lineRule="auto"/>
        <w:ind w:left="360"/>
        <w:contextualSpacing w:val="0"/>
        <w:rPr>
          <w:rFonts w:ascii="Arial" w:hAnsi="Arial" w:cs="Arial"/>
          <w:sz w:val="20"/>
          <w:szCs w:val="20"/>
        </w:rPr>
      </w:pPr>
      <w:r>
        <w:rPr>
          <w:rFonts w:ascii="Arial" w:hAnsi="Arial" w:cs="Arial"/>
          <w:sz w:val="20"/>
          <w:szCs w:val="20"/>
        </w:rPr>
        <w:t xml:space="preserve">With the goal of concentrating on the Core foundation and college readiness upon graduation, </w:t>
      </w:r>
      <w:r w:rsidR="00AD06B1">
        <w:rPr>
          <w:rFonts w:ascii="Arial" w:hAnsi="Arial" w:cs="Arial"/>
          <w:sz w:val="20"/>
          <w:szCs w:val="20"/>
        </w:rPr>
        <w:t>HS</w:t>
      </w:r>
      <w:r w:rsidR="00AD06B1" w:rsidRPr="00A4643D">
        <w:rPr>
          <w:rFonts w:ascii="Arial" w:hAnsi="Arial" w:cs="Arial"/>
          <w:sz w:val="20"/>
          <w:szCs w:val="20"/>
        </w:rPr>
        <w:t xml:space="preserve"> students in need of remediation in mathematics or English/writing must </w:t>
      </w:r>
      <w:r>
        <w:rPr>
          <w:rFonts w:ascii="Arial" w:hAnsi="Arial" w:cs="Arial"/>
          <w:sz w:val="20"/>
          <w:szCs w:val="20"/>
        </w:rPr>
        <w:t xml:space="preserve">be making progress to </w:t>
      </w:r>
      <w:r w:rsidR="00AD06B1" w:rsidRPr="00A4643D">
        <w:rPr>
          <w:rFonts w:ascii="Arial" w:hAnsi="Arial" w:cs="Arial"/>
          <w:sz w:val="20"/>
          <w:szCs w:val="20"/>
        </w:rPr>
        <w:t xml:space="preserve">complete </w:t>
      </w:r>
      <w:r w:rsidR="00AD06B1">
        <w:rPr>
          <w:rFonts w:ascii="Arial" w:hAnsi="Arial" w:cs="Arial"/>
          <w:sz w:val="20"/>
          <w:szCs w:val="20"/>
        </w:rPr>
        <w:t xml:space="preserve">all required </w:t>
      </w:r>
      <w:r w:rsidR="00AD06B1" w:rsidRPr="00A4643D">
        <w:rPr>
          <w:rFonts w:ascii="Arial" w:hAnsi="Arial" w:cs="Arial"/>
          <w:sz w:val="20"/>
          <w:szCs w:val="20"/>
        </w:rPr>
        <w:t xml:space="preserve">remediation </w:t>
      </w:r>
      <w:r>
        <w:rPr>
          <w:rFonts w:ascii="Arial" w:hAnsi="Arial" w:cs="Arial"/>
          <w:sz w:val="20"/>
          <w:szCs w:val="20"/>
        </w:rPr>
        <w:t>to</w:t>
      </w:r>
      <w:r w:rsidRPr="00A4643D">
        <w:rPr>
          <w:rFonts w:ascii="Arial" w:hAnsi="Arial" w:cs="Arial"/>
          <w:sz w:val="20"/>
          <w:szCs w:val="20"/>
        </w:rPr>
        <w:t xml:space="preserve"> </w:t>
      </w:r>
      <w:r w:rsidR="00AD06B1" w:rsidRPr="00A4643D">
        <w:rPr>
          <w:rFonts w:ascii="Arial" w:hAnsi="Arial" w:cs="Arial"/>
          <w:sz w:val="20"/>
          <w:szCs w:val="20"/>
        </w:rPr>
        <w:t>enroll in any course</w:t>
      </w:r>
      <w:r>
        <w:rPr>
          <w:rFonts w:ascii="Arial" w:hAnsi="Arial" w:cs="Arial"/>
          <w:sz w:val="20"/>
          <w:szCs w:val="20"/>
        </w:rPr>
        <w:t>s</w:t>
      </w:r>
      <w:r w:rsidR="00AD06B1" w:rsidRPr="00A4643D">
        <w:rPr>
          <w:rFonts w:ascii="Arial" w:hAnsi="Arial" w:cs="Arial"/>
          <w:sz w:val="20"/>
          <w:szCs w:val="20"/>
        </w:rPr>
        <w:t xml:space="preserve"> on the Master Articulation Matrix, i.e., to demonstrate ACT (or equivalent) </w:t>
      </w:r>
      <w:r w:rsidR="00AD06B1">
        <w:rPr>
          <w:rFonts w:ascii="Arial" w:hAnsi="Arial" w:cs="Arial"/>
          <w:sz w:val="20"/>
          <w:szCs w:val="20"/>
        </w:rPr>
        <w:t xml:space="preserve">Composite of at least 19 with </w:t>
      </w:r>
      <w:proofErr w:type="spellStart"/>
      <w:r w:rsidR="00AD06B1" w:rsidRPr="00A4643D">
        <w:rPr>
          <w:rFonts w:ascii="Arial" w:hAnsi="Arial" w:cs="Arial"/>
          <w:sz w:val="20"/>
          <w:szCs w:val="20"/>
        </w:rPr>
        <w:t>subscores</w:t>
      </w:r>
      <w:proofErr w:type="spellEnd"/>
      <w:r w:rsidR="00AD06B1" w:rsidRPr="00A4643D">
        <w:rPr>
          <w:rFonts w:ascii="Arial" w:hAnsi="Arial" w:cs="Arial"/>
          <w:sz w:val="20"/>
          <w:szCs w:val="20"/>
        </w:rPr>
        <w:t xml:space="preserve"> of at least 19 (Math) and 18 (English).</w:t>
      </w:r>
      <w:r w:rsidR="00AD06B1" w:rsidRPr="009B5ECE">
        <w:rPr>
          <w:rStyle w:val="FootnoteReference"/>
          <w:rFonts w:ascii="Arial" w:hAnsi="Arial" w:cs="Arial"/>
          <w:sz w:val="20"/>
          <w:szCs w:val="20"/>
          <w:vertAlign w:val="superscript"/>
        </w:rPr>
        <w:footnoteReference w:id="2"/>
      </w:r>
      <w:r w:rsidR="00AD06B1" w:rsidRPr="00A4643D">
        <w:rPr>
          <w:rFonts w:ascii="Arial" w:hAnsi="Arial" w:cs="Arial"/>
          <w:sz w:val="20"/>
          <w:szCs w:val="20"/>
        </w:rPr>
        <w:t xml:space="preserve"> The postsecondary institution may require higher readiness indicators.</w:t>
      </w:r>
    </w:p>
    <w:p w14:paraId="0B99A242" w14:textId="77777777" w:rsidR="000E158A" w:rsidRDefault="000E158A" w:rsidP="00D42BAF">
      <w:pPr>
        <w:pStyle w:val="ListParagraph"/>
        <w:widowControl/>
        <w:spacing w:after="120" w:line="240" w:lineRule="auto"/>
        <w:ind w:left="360"/>
        <w:contextualSpacing w:val="0"/>
        <w:rPr>
          <w:rFonts w:ascii="Arial" w:hAnsi="Arial" w:cs="Arial"/>
          <w:sz w:val="20"/>
          <w:szCs w:val="20"/>
        </w:rPr>
      </w:pPr>
    </w:p>
    <w:p w14:paraId="1FF28529" w14:textId="77777777" w:rsidR="00993A9F" w:rsidRDefault="00993A9F" w:rsidP="00D42BAF">
      <w:pPr>
        <w:pStyle w:val="ListParagraph"/>
        <w:widowControl/>
        <w:numPr>
          <w:ilvl w:val="0"/>
          <w:numId w:val="21"/>
        </w:numPr>
        <w:spacing w:after="120" w:line="240" w:lineRule="auto"/>
        <w:ind w:left="1080"/>
        <w:contextualSpacing w:val="0"/>
        <w:rPr>
          <w:rFonts w:ascii="Arial" w:hAnsi="Arial" w:cs="Arial"/>
          <w:sz w:val="20"/>
          <w:szCs w:val="20"/>
        </w:rPr>
      </w:pPr>
      <w:r>
        <w:rPr>
          <w:rFonts w:ascii="Arial" w:hAnsi="Arial" w:cs="Arial"/>
          <w:sz w:val="20"/>
          <w:szCs w:val="20"/>
        </w:rPr>
        <w:t>Students who meet other readiness indicators but have &lt;18 in ACT English may be allowed to enroll in mathematics courses for DE, if they concurrently address their reading/writing deficiencies; and</w:t>
      </w:r>
    </w:p>
    <w:p w14:paraId="35EB3ECD" w14:textId="77777777" w:rsidR="00993A9F" w:rsidRDefault="00993A9F" w:rsidP="00D42BAF">
      <w:pPr>
        <w:pStyle w:val="ListParagraph"/>
        <w:widowControl/>
        <w:numPr>
          <w:ilvl w:val="0"/>
          <w:numId w:val="21"/>
        </w:numPr>
        <w:spacing w:after="120" w:line="240" w:lineRule="auto"/>
        <w:ind w:left="1080"/>
        <w:contextualSpacing w:val="0"/>
        <w:rPr>
          <w:rFonts w:ascii="Arial" w:hAnsi="Arial" w:cs="Arial"/>
          <w:sz w:val="20"/>
          <w:szCs w:val="20"/>
        </w:rPr>
      </w:pPr>
      <w:r>
        <w:rPr>
          <w:rFonts w:ascii="Arial" w:hAnsi="Arial" w:cs="Arial"/>
          <w:sz w:val="20"/>
          <w:szCs w:val="20"/>
        </w:rPr>
        <w:t>Students who meet other readiness indicators but have &lt;19 in ACT Math may be allowed to enroll in English, foreign language, history, or introductory social science, humanities, or arts survey courses for DE, if they concurrently address their mathematics deficiencies.</w:t>
      </w:r>
    </w:p>
    <w:p w14:paraId="1CD50E33" w14:textId="77777777" w:rsidR="00993A9F" w:rsidRDefault="00993A9F" w:rsidP="00D42BAF">
      <w:pPr>
        <w:pStyle w:val="ListParagraph"/>
        <w:widowControl/>
        <w:numPr>
          <w:ilvl w:val="0"/>
          <w:numId w:val="21"/>
        </w:numPr>
        <w:spacing w:after="120" w:line="240" w:lineRule="auto"/>
        <w:ind w:left="1080"/>
        <w:contextualSpacing w:val="0"/>
        <w:rPr>
          <w:rFonts w:ascii="Arial" w:hAnsi="Arial" w:cs="Arial"/>
          <w:sz w:val="20"/>
          <w:szCs w:val="20"/>
        </w:rPr>
      </w:pPr>
      <w:r>
        <w:rPr>
          <w:rFonts w:ascii="Arial" w:hAnsi="Arial" w:cs="Arial"/>
          <w:sz w:val="20"/>
          <w:szCs w:val="20"/>
        </w:rPr>
        <w:t xml:space="preserve">Because it is important that DE students graduate college-ready, before enrolling in any course on the Master Articulation Matrix in the Spring semester/term of the Senior year, a student must be able to demonstrate college readiness in </w:t>
      </w:r>
      <w:r>
        <w:rPr>
          <w:rFonts w:ascii="Arial" w:hAnsi="Arial" w:cs="Arial"/>
          <w:i/>
          <w:sz w:val="20"/>
          <w:szCs w:val="20"/>
        </w:rPr>
        <w:t xml:space="preserve">both </w:t>
      </w:r>
      <w:r>
        <w:rPr>
          <w:rFonts w:ascii="Arial" w:hAnsi="Arial" w:cs="Arial"/>
          <w:sz w:val="20"/>
          <w:szCs w:val="20"/>
        </w:rPr>
        <w:t>English and mathematics.</w:t>
      </w:r>
    </w:p>
    <w:p w14:paraId="348E7832" w14:textId="77777777" w:rsidR="00993A9F" w:rsidRPr="00A91879" w:rsidRDefault="00BD50B8" w:rsidP="00D42BAF">
      <w:pPr>
        <w:spacing w:after="120"/>
        <w:ind w:left="360"/>
        <w:rPr>
          <w:rFonts w:ascii="Arial" w:hAnsi="Arial" w:cs="Arial"/>
          <w:sz w:val="20"/>
        </w:rPr>
      </w:pPr>
      <w:r>
        <w:rPr>
          <w:rFonts w:ascii="Arial" w:hAnsi="Arial" w:cs="Arial"/>
          <w:sz w:val="20"/>
        </w:rPr>
        <w:t>Students may concurrently address deficiencies in several ways, e.g., by continuing to complete core classes, participating in online subject area reviews before retaking the assessment</w:t>
      </w:r>
      <w:r w:rsidR="005607A6">
        <w:rPr>
          <w:rFonts w:ascii="Arial" w:hAnsi="Arial" w:cs="Arial"/>
          <w:sz w:val="20"/>
        </w:rPr>
        <w:t>, or</w:t>
      </w:r>
      <w:r w:rsidR="00D42BAF">
        <w:rPr>
          <w:rFonts w:ascii="Arial" w:hAnsi="Arial" w:cs="Arial"/>
          <w:sz w:val="20"/>
        </w:rPr>
        <w:t>, after completing at least three core English/math courses,</w:t>
      </w:r>
      <w:r w:rsidR="005607A6">
        <w:rPr>
          <w:rFonts w:ascii="Arial" w:hAnsi="Arial" w:cs="Arial"/>
          <w:sz w:val="20"/>
        </w:rPr>
        <w:t xml:space="preserve"> enrolling in a BESE-approved HS transition or </w:t>
      </w:r>
      <w:r w:rsidR="00D42BAF" w:rsidRPr="00A91879">
        <w:rPr>
          <w:rFonts w:ascii="Arial" w:hAnsi="Arial" w:cs="Arial"/>
          <w:sz w:val="20"/>
        </w:rPr>
        <w:t xml:space="preserve">college </w:t>
      </w:r>
      <w:r w:rsidR="005607A6" w:rsidRPr="00A91879">
        <w:rPr>
          <w:rFonts w:ascii="Arial" w:hAnsi="Arial" w:cs="Arial"/>
          <w:sz w:val="20"/>
        </w:rPr>
        <w:t xml:space="preserve">developmental course </w:t>
      </w:r>
      <w:r w:rsidR="00D42BAF" w:rsidRPr="00A91879">
        <w:rPr>
          <w:rFonts w:ascii="Arial" w:hAnsi="Arial" w:cs="Arial"/>
          <w:sz w:val="20"/>
        </w:rPr>
        <w:t>for which a grade ≥C will be considered equivalent to the required ACT</w:t>
      </w:r>
      <w:r w:rsidRPr="00A91879">
        <w:rPr>
          <w:rFonts w:ascii="Arial" w:hAnsi="Arial" w:cs="Arial"/>
          <w:sz w:val="20"/>
        </w:rPr>
        <w:t>.</w:t>
      </w:r>
      <w:r w:rsidR="00C2189E" w:rsidRPr="00A91879">
        <w:rPr>
          <w:rFonts w:ascii="Arial" w:hAnsi="Arial" w:cs="Arial"/>
          <w:sz w:val="20"/>
        </w:rPr>
        <w:t xml:space="preserve"> </w:t>
      </w:r>
    </w:p>
    <w:p w14:paraId="58A5DC72" w14:textId="77777777" w:rsidR="00AD06B1" w:rsidRPr="00A91879" w:rsidRDefault="00AD06B1" w:rsidP="00584725">
      <w:pPr>
        <w:ind w:left="360"/>
        <w:rPr>
          <w:rFonts w:ascii="Arial" w:hAnsi="Arial" w:cs="Arial"/>
          <w:sz w:val="20"/>
        </w:rPr>
      </w:pPr>
      <w:r w:rsidRPr="00A91879">
        <w:rPr>
          <w:rFonts w:ascii="Arial" w:hAnsi="Arial" w:cs="Arial"/>
          <w:sz w:val="20"/>
        </w:rPr>
        <w:t>Dual Enrollment students must have and maintain a cumulative HS GPA of at least 2.5, verified by the high school, to initiate or continue dual enrollment.</w:t>
      </w:r>
    </w:p>
    <w:p w14:paraId="6E06E9C9" w14:textId="77777777" w:rsidR="00A91879" w:rsidRDefault="00A91879" w:rsidP="00A91879">
      <w:pPr>
        <w:rPr>
          <w:rFonts w:ascii="Arial" w:hAnsi="Arial" w:cs="Arial"/>
          <w:sz w:val="20"/>
        </w:rPr>
      </w:pPr>
    </w:p>
    <w:p w14:paraId="1A43C533" w14:textId="77777777" w:rsidR="00470278" w:rsidRPr="00BD50B8" w:rsidRDefault="00470278" w:rsidP="00926870">
      <w:pPr>
        <w:spacing w:after="160"/>
        <w:rPr>
          <w:rFonts w:ascii="Arial" w:hAnsi="Arial" w:cs="Arial"/>
          <w:sz w:val="20"/>
        </w:rPr>
      </w:pPr>
      <w:r>
        <w:rPr>
          <w:rFonts w:ascii="Arial" w:hAnsi="Arial" w:cs="Arial"/>
          <w:sz w:val="20"/>
        </w:rPr>
        <w:t xml:space="preserve">Institutions engaged in </w:t>
      </w:r>
      <w:r w:rsidR="00923D99">
        <w:rPr>
          <w:rFonts w:ascii="Arial" w:hAnsi="Arial" w:cs="Arial"/>
          <w:sz w:val="20"/>
        </w:rPr>
        <w:t>recognized</w:t>
      </w:r>
      <w:r w:rsidR="00926870">
        <w:rPr>
          <w:rFonts w:ascii="Arial" w:hAnsi="Arial" w:cs="Arial"/>
          <w:sz w:val="20"/>
        </w:rPr>
        <w:t xml:space="preserve"> </w:t>
      </w:r>
      <w:r>
        <w:rPr>
          <w:rFonts w:ascii="Arial" w:hAnsi="Arial" w:cs="Arial"/>
          <w:sz w:val="20"/>
        </w:rPr>
        <w:t>Early College programs (</w:t>
      </w:r>
      <w:r w:rsidR="00923D99">
        <w:rPr>
          <w:rFonts w:ascii="Arial" w:hAnsi="Arial" w:cs="Arial"/>
          <w:sz w:val="20"/>
        </w:rPr>
        <w:t xml:space="preserve">SLCC and the Early College Academy in Lafayette Parish; </w:t>
      </w:r>
      <w:r w:rsidR="00926870">
        <w:rPr>
          <w:rFonts w:ascii="Arial" w:hAnsi="Arial" w:cs="Arial"/>
          <w:sz w:val="20"/>
        </w:rPr>
        <w:t xml:space="preserve">RPCC and </w:t>
      </w:r>
      <w:r>
        <w:rPr>
          <w:rFonts w:ascii="Arial" w:hAnsi="Arial" w:cs="Arial"/>
          <w:sz w:val="20"/>
        </w:rPr>
        <w:t>the Early College</w:t>
      </w:r>
      <w:r w:rsidR="003075D7" w:rsidRPr="003075D7">
        <w:rPr>
          <w:rFonts w:ascii="Arial" w:hAnsi="Arial" w:cs="Arial"/>
          <w:sz w:val="20"/>
        </w:rPr>
        <w:t xml:space="preserve"> </w:t>
      </w:r>
      <w:r w:rsidR="003075D7">
        <w:rPr>
          <w:rFonts w:ascii="Arial" w:hAnsi="Arial" w:cs="Arial"/>
          <w:sz w:val="20"/>
        </w:rPr>
        <w:t>Option in Ascension Parish</w:t>
      </w:r>
      <w:r>
        <w:rPr>
          <w:rFonts w:ascii="Arial" w:hAnsi="Arial" w:cs="Arial"/>
          <w:sz w:val="20"/>
        </w:rPr>
        <w:t xml:space="preserve">) will adhere to this policy except as </w:t>
      </w:r>
      <w:r w:rsidR="00926870">
        <w:rPr>
          <w:rFonts w:ascii="Arial" w:hAnsi="Arial" w:cs="Arial"/>
          <w:sz w:val="20"/>
        </w:rPr>
        <w:t xml:space="preserve">recommended by the Management Board and </w:t>
      </w:r>
      <w:r w:rsidR="003075D7">
        <w:rPr>
          <w:rFonts w:ascii="Arial" w:hAnsi="Arial" w:cs="Arial"/>
          <w:sz w:val="20"/>
        </w:rPr>
        <w:t>endorsed</w:t>
      </w:r>
      <w:r w:rsidR="00926870">
        <w:rPr>
          <w:rFonts w:ascii="Arial" w:hAnsi="Arial" w:cs="Arial"/>
          <w:sz w:val="20"/>
        </w:rPr>
        <w:t xml:space="preserve"> by the Board of Regents. </w:t>
      </w:r>
    </w:p>
    <w:p w14:paraId="34F0EEB3" w14:textId="77777777" w:rsidR="00AD06B1" w:rsidRPr="00A4643D" w:rsidRDefault="00AD06B1" w:rsidP="00D42BAF">
      <w:pPr>
        <w:spacing w:after="120"/>
        <w:rPr>
          <w:rFonts w:ascii="Arial" w:hAnsi="Arial" w:cs="Arial"/>
          <w:b/>
          <w:sz w:val="20"/>
        </w:rPr>
      </w:pPr>
      <w:r w:rsidRPr="00A4643D">
        <w:rPr>
          <w:rFonts w:ascii="Arial" w:hAnsi="Arial" w:cs="Arial"/>
          <w:b/>
        </w:rPr>
        <w:t>Technical</w:t>
      </w:r>
      <w:r>
        <w:rPr>
          <w:rFonts w:ascii="Arial" w:hAnsi="Arial" w:cs="Arial"/>
          <w:b/>
        </w:rPr>
        <w:t>/Work Skills</w:t>
      </w:r>
      <w:r w:rsidRPr="00A4643D">
        <w:rPr>
          <w:rFonts w:ascii="Arial" w:hAnsi="Arial" w:cs="Arial"/>
          <w:b/>
        </w:rPr>
        <w:t xml:space="preserve"> Courses</w:t>
      </w:r>
      <w:r w:rsidRPr="00A4643D">
        <w:rPr>
          <w:rFonts w:ascii="Arial" w:hAnsi="Arial" w:cs="Arial"/>
          <w:b/>
          <w:sz w:val="20"/>
        </w:rPr>
        <w:t xml:space="preserve"> </w:t>
      </w:r>
      <w:r w:rsidRPr="00A4643D">
        <w:rPr>
          <w:rFonts w:ascii="Arial" w:hAnsi="Arial" w:cs="Arial"/>
          <w:b/>
          <w:sz w:val="21"/>
          <w:szCs w:val="21"/>
        </w:rPr>
        <w:t>(</w:t>
      </w:r>
      <w:r>
        <w:rPr>
          <w:rFonts w:ascii="Arial" w:hAnsi="Arial" w:cs="Arial"/>
          <w:b/>
          <w:sz w:val="21"/>
          <w:szCs w:val="21"/>
        </w:rPr>
        <w:t>N</w:t>
      </w:r>
      <w:r w:rsidRPr="00A4643D">
        <w:rPr>
          <w:rFonts w:ascii="Arial" w:hAnsi="Arial" w:cs="Arial"/>
          <w:b/>
          <w:sz w:val="21"/>
          <w:szCs w:val="21"/>
        </w:rPr>
        <w:t>ot on the Articulation Matrix)</w:t>
      </w:r>
    </w:p>
    <w:p w14:paraId="1A021336" w14:textId="77777777" w:rsidR="00AD06B1" w:rsidRPr="008D758E" w:rsidRDefault="00AD06B1" w:rsidP="00584725">
      <w:pPr>
        <w:ind w:left="360"/>
        <w:rPr>
          <w:rFonts w:ascii="Arial" w:hAnsi="Arial" w:cs="Arial"/>
          <w:sz w:val="20"/>
        </w:rPr>
      </w:pPr>
      <w:r w:rsidRPr="008D758E">
        <w:rPr>
          <w:rFonts w:ascii="Arial" w:hAnsi="Arial" w:cs="Arial"/>
          <w:sz w:val="20"/>
        </w:rPr>
        <w:t>A technical/work skills course is a course in a skill or occupational training area</w:t>
      </w:r>
      <w:r w:rsidR="005607A6" w:rsidRPr="008D758E">
        <w:rPr>
          <w:rFonts w:ascii="Arial" w:hAnsi="Arial" w:cs="Arial"/>
          <w:sz w:val="20"/>
        </w:rPr>
        <w:t xml:space="preserve"> </w:t>
      </w:r>
      <w:r w:rsidRPr="008D758E">
        <w:rPr>
          <w:rFonts w:ascii="Arial" w:hAnsi="Arial" w:cs="Arial"/>
          <w:sz w:val="20"/>
        </w:rPr>
        <w:t xml:space="preserve">that contributes to a declared Career Area of Concentration and/or leads to a recognized industry based certification, certificate, </w:t>
      </w:r>
      <w:r w:rsidR="008D758E">
        <w:rPr>
          <w:rFonts w:ascii="Arial" w:hAnsi="Arial" w:cs="Arial"/>
          <w:sz w:val="20"/>
        </w:rPr>
        <w:t xml:space="preserve">or </w:t>
      </w:r>
      <w:r w:rsidRPr="008D758E">
        <w:rPr>
          <w:rFonts w:ascii="Arial" w:hAnsi="Arial" w:cs="Arial"/>
          <w:sz w:val="20"/>
        </w:rPr>
        <w:t>diploma</w:t>
      </w:r>
      <w:r w:rsidR="008D758E">
        <w:rPr>
          <w:rFonts w:ascii="Arial" w:hAnsi="Arial" w:cs="Arial"/>
          <w:sz w:val="20"/>
        </w:rPr>
        <w:t>. It is not a transferrable General Education course or</w:t>
      </w:r>
      <w:r w:rsidRPr="008D758E">
        <w:rPr>
          <w:rFonts w:ascii="Arial" w:hAnsi="Arial" w:cs="Arial"/>
          <w:sz w:val="20"/>
        </w:rPr>
        <w:t xml:space="preserve"> listed on the Master Course Articulation Matrix.</w:t>
      </w:r>
      <w:r w:rsidR="008D758E">
        <w:rPr>
          <w:rFonts w:ascii="Arial" w:hAnsi="Arial" w:cs="Arial"/>
          <w:sz w:val="20"/>
        </w:rPr>
        <w:t xml:space="preserve"> HS students seeking to enroll in a technical/work skills course must demonstrate an ability to benefit as defined by the Management Board and its member campuses.</w:t>
      </w:r>
    </w:p>
    <w:p w14:paraId="5CA7AB59" w14:textId="77777777" w:rsidR="00DC6FEF" w:rsidRDefault="00DC6FEF" w:rsidP="00DC6FEF">
      <w:pPr>
        <w:rPr>
          <w:rFonts w:ascii="Arial" w:hAnsi="Arial" w:cs="Arial"/>
          <w:sz w:val="20"/>
        </w:rPr>
      </w:pPr>
    </w:p>
    <w:p w14:paraId="27656008" w14:textId="77777777" w:rsidR="00AD06B1" w:rsidRPr="00490E62" w:rsidRDefault="00AD06B1" w:rsidP="00D42BAF">
      <w:pPr>
        <w:spacing w:after="120"/>
        <w:rPr>
          <w:rFonts w:ascii="Arial" w:hAnsi="Arial" w:cs="Arial"/>
          <w:sz w:val="20"/>
          <w:u w:val="single"/>
        </w:rPr>
      </w:pPr>
      <w:r w:rsidRPr="00A4643D">
        <w:rPr>
          <w:rFonts w:ascii="Arial" w:hAnsi="Arial" w:cs="Arial"/>
          <w:b/>
          <w:u w:val="single"/>
        </w:rPr>
        <w:t>Instructor</w:t>
      </w:r>
      <w:r w:rsidRPr="00490E62">
        <w:rPr>
          <w:rFonts w:ascii="Arial" w:hAnsi="Arial" w:cs="Arial"/>
          <w:sz w:val="20"/>
        </w:rPr>
        <w:t xml:space="preserve">. </w:t>
      </w:r>
      <w:r>
        <w:rPr>
          <w:rFonts w:ascii="Arial" w:hAnsi="Arial" w:cs="Arial"/>
          <w:sz w:val="20"/>
        </w:rPr>
        <w:t>There is no difference in expected qualifications for a dual enrollment instructor from those of any other on-campus instructor. Likewise, there is an expectation of appropriate oversight of dual credit instructors if adjunct instructors are used, just as would be expected for any other college program. Whether or not t</w:t>
      </w:r>
      <w:r w:rsidRPr="00A4643D">
        <w:rPr>
          <w:rFonts w:ascii="Arial" w:hAnsi="Arial" w:cs="Arial"/>
          <w:sz w:val="20"/>
        </w:rPr>
        <w:t xml:space="preserve">he instructor of record </w:t>
      </w:r>
      <w:r>
        <w:rPr>
          <w:rFonts w:ascii="Arial" w:hAnsi="Arial" w:cs="Arial"/>
          <w:sz w:val="20"/>
        </w:rPr>
        <w:t xml:space="preserve">is actually engaged in teaching students in the classroom or online or is overseeing the teaching process, the individual listed as the instructor of record </w:t>
      </w:r>
      <w:r w:rsidRPr="00A4643D">
        <w:rPr>
          <w:rFonts w:ascii="Arial" w:hAnsi="Arial" w:cs="Arial"/>
          <w:sz w:val="20"/>
        </w:rPr>
        <w:t>is responsible for content/instruction delivered in the classroom.</w:t>
      </w:r>
    </w:p>
    <w:p w14:paraId="7721DF8E" w14:textId="77777777" w:rsidR="00AD06B1" w:rsidRPr="00A4643D" w:rsidRDefault="00AD06B1" w:rsidP="00D42BAF">
      <w:pPr>
        <w:pStyle w:val="ListParagraph"/>
        <w:widowControl/>
        <w:numPr>
          <w:ilvl w:val="0"/>
          <w:numId w:val="17"/>
        </w:numPr>
        <w:spacing w:after="120" w:line="240" w:lineRule="auto"/>
        <w:contextualSpacing w:val="0"/>
        <w:rPr>
          <w:rFonts w:ascii="Arial" w:hAnsi="Arial" w:cs="Arial"/>
          <w:sz w:val="20"/>
          <w:szCs w:val="20"/>
        </w:rPr>
      </w:pPr>
      <w:r w:rsidRPr="00A4643D">
        <w:rPr>
          <w:rFonts w:ascii="Arial" w:hAnsi="Arial" w:cs="Arial"/>
          <w:sz w:val="20"/>
          <w:szCs w:val="20"/>
        </w:rPr>
        <w:t>T</w:t>
      </w:r>
      <w:r>
        <w:rPr>
          <w:rFonts w:ascii="Arial" w:hAnsi="Arial" w:cs="Arial"/>
          <w:sz w:val="20"/>
          <w:szCs w:val="20"/>
        </w:rPr>
        <w:t>o ensure the quality and integrity of t</w:t>
      </w:r>
      <w:r w:rsidRPr="00A4643D">
        <w:rPr>
          <w:rFonts w:ascii="Arial" w:hAnsi="Arial" w:cs="Arial"/>
          <w:sz w:val="20"/>
          <w:szCs w:val="20"/>
        </w:rPr>
        <w:t>he</w:t>
      </w:r>
      <w:r>
        <w:rPr>
          <w:rFonts w:ascii="Arial" w:hAnsi="Arial" w:cs="Arial"/>
          <w:sz w:val="20"/>
          <w:szCs w:val="20"/>
        </w:rPr>
        <w:t xml:space="preserve"> academic content and delivery of the course, the</w:t>
      </w:r>
      <w:r w:rsidRPr="00A4643D">
        <w:rPr>
          <w:rFonts w:ascii="Arial" w:hAnsi="Arial" w:cs="Arial"/>
          <w:sz w:val="20"/>
          <w:szCs w:val="20"/>
        </w:rPr>
        <w:t xml:space="preserve"> person delivering the instruction </w:t>
      </w:r>
      <w:r>
        <w:rPr>
          <w:rFonts w:ascii="Arial" w:hAnsi="Arial" w:cs="Arial"/>
          <w:sz w:val="20"/>
          <w:szCs w:val="20"/>
        </w:rPr>
        <w:t xml:space="preserve">as a representative of the institution should be a qualified, effective faculty </w:t>
      </w:r>
      <w:r w:rsidRPr="00B94347">
        <w:rPr>
          <w:rFonts w:ascii="Arial" w:hAnsi="Arial" w:cs="Arial"/>
          <w:sz w:val="20"/>
          <w:szCs w:val="20"/>
        </w:rPr>
        <w:t>member. That individual</w:t>
      </w:r>
      <w:r>
        <w:rPr>
          <w:rFonts w:ascii="Arial" w:hAnsi="Arial" w:cs="Arial"/>
          <w:sz w:val="20"/>
          <w:szCs w:val="20"/>
        </w:rPr>
        <w:t xml:space="preserve"> </w:t>
      </w:r>
      <w:r w:rsidRPr="00A4643D">
        <w:rPr>
          <w:rFonts w:ascii="Arial" w:hAnsi="Arial" w:cs="Arial"/>
          <w:sz w:val="20"/>
          <w:szCs w:val="20"/>
        </w:rPr>
        <w:t>must</w:t>
      </w:r>
      <w:r>
        <w:rPr>
          <w:rFonts w:ascii="Arial" w:hAnsi="Arial" w:cs="Arial"/>
          <w:sz w:val="20"/>
          <w:szCs w:val="20"/>
        </w:rPr>
        <w:t>, at a minimum,</w:t>
      </w:r>
      <w:r w:rsidRPr="00A4643D">
        <w:rPr>
          <w:rFonts w:ascii="Arial" w:hAnsi="Arial" w:cs="Arial"/>
          <w:sz w:val="20"/>
          <w:szCs w:val="20"/>
        </w:rPr>
        <w:t xml:space="preserve"> meet </w:t>
      </w:r>
      <w:r>
        <w:rPr>
          <w:rFonts w:ascii="Arial" w:hAnsi="Arial" w:cs="Arial"/>
          <w:sz w:val="20"/>
          <w:szCs w:val="20"/>
        </w:rPr>
        <w:t xml:space="preserve">the institution’s policy on faculty qualifications, within </w:t>
      </w:r>
      <w:r w:rsidRPr="00A4643D">
        <w:rPr>
          <w:rFonts w:ascii="Arial" w:hAnsi="Arial" w:cs="Arial"/>
          <w:sz w:val="20"/>
          <w:szCs w:val="20"/>
        </w:rPr>
        <w:t xml:space="preserve">SACSCOC </w:t>
      </w:r>
      <w:r>
        <w:rPr>
          <w:rFonts w:ascii="Arial" w:hAnsi="Arial" w:cs="Arial"/>
          <w:sz w:val="20"/>
          <w:szCs w:val="20"/>
        </w:rPr>
        <w:t>(</w:t>
      </w:r>
      <w:r w:rsidRPr="00A4643D">
        <w:rPr>
          <w:rFonts w:ascii="Arial" w:hAnsi="Arial" w:cs="Arial"/>
          <w:sz w:val="20"/>
          <w:szCs w:val="20"/>
        </w:rPr>
        <w:t>or COE</w:t>
      </w:r>
      <w:r>
        <w:rPr>
          <w:rFonts w:ascii="Arial" w:hAnsi="Arial" w:cs="Arial"/>
          <w:sz w:val="20"/>
          <w:szCs w:val="20"/>
        </w:rPr>
        <w:t>)</w:t>
      </w:r>
      <w:r w:rsidRPr="00A4643D">
        <w:rPr>
          <w:rFonts w:ascii="Arial" w:hAnsi="Arial" w:cs="Arial"/>
          <w:sz w:val="20"/>
          <w:szCs w:val="20"/>
        </w:rPr>
        <w:t xml:space="preserve"> credential </w:t>
      </w:r>
      <w:r>
        <w:rPr>
          <w:rFonts w:ascii="Arial" w:hAnsi="Arial" w:cs="Arial"/>
          <w:sz w:val="20"/>
          <w:szCs w:val="20"/>
        </w:rPr>
        <w:t>guidelines</w:t>
      </w:r>
      <w:r w:rsidRPr="00A4643D">
        <w:rPr>
          <w:rFonts w:ascii="Arial" w:hAnsi="Arial" w:cs="Arial"/>
          <w:sz w:val="20"/>
          <w:szCs w:val="20"/>
        </w:rPr>
        <w:t>.</w:t>
      </w:r>
    </w:p>
    <w:p w14:paraId="698A43D1" w14:textId="77777777" w:rsidR="00E62924" w:rsidRDefault="00AD06B1" w:rsidP="00D42BAF">
      <w:pPr>
        <w:pStyle w:val="ListParagraph"/>
        <w:widowControl/>
        <w:numPr>
          <w:ilvl w:val="0"/>
          <w:numId w:val="17"/>
        </w:numPr>
        <w:spacing w:after="0" w:line="240" w:lineRule="auto"/>
        <w:contextualSpacing w:val="0"/>
        <w:rPr>
          <w:rFonts w:ascii="Arial" w:hAnsi="Arial" w:cs="Arial"/>
          <w:sz w:val="20"/>
          <w:szCs w:val="20"/>
        </w:rPr>
      </w:pPr>
      <w:r>
        <w:rPr>
          <w:rFonts w:ascii="Arial" w:hAnsi="Arial" w:cs="Arial"/>
          <w:sz w:val="20"/>
          <w:szCs w:val="20"/>
        </w:rPr>
        <w:t>Especially if t</w:t>
      </w:r>
      <w:r w:rsidRPr="00A4643D">
        <w:rPr>
          <w:rFonts w:ascii="Arial" w:hAnsi="Arial" w:cs="Arial"/>
          <w:sz w:val="20"/>
          <w:szCs w:val="20"/>
        </w:rPr>
        <w:t xml:space="preserve">he person delivering or facilitating the instruction </w:t>
      </w:r>
      <w:r>
        <w:rPr>
          <w:rFonts w:ascii="Arial" w:hAnsi="Arial" w:cs="Arial"/>
          <w:sz w:val="20"/>
          <w:szCs w:val="20"/>
        </w:rPr>
        <w:t>is not a regular member of the postsecondary institution’s on-campus faculty, s/he must receive</w:t>
      </w:r>
      <w:r w:rsidRPr="00A4643D">
        <w:rPr>
          <w:rFonts w:ascii="Arial" w:hAnsi="Arial" w:cs="Arial"/>
          <w:sz w:val="20"/>
          <w:szCs w:val="20"/>
        </w:rPr>
        <w:t xml:space="preserve"> appropriate formal training by the postsecondary institution/department on delivery of the particular college course: syllabus; campus and departmental expectations for delivery, grading,</w:t>
      </w:r>
      <w:r>
        <w:rPr>
          <w:rFonts w:ascii="Arial" w:hAnsi="Arial" w:cs="Arial"/>
          <w:sz w:val="20"/>
          <w:szCs w:val="20"/>
        </w:rPr>
        <w:t xml:space="preserve"> and </w:t>
      </w:r>
      <w:r w:rsidRPr="00A4643D">
        <w:rPr>
          <w:rFonts w:ascii="Arial" w:hAnsi="Arial" w:cs="Arial"/>
          <w:sz w:val="20"/>
          <w:szCs w:val="20"/>
        </w:rPr>
        <w:t xml:space="preserve">student performance. The teacher/facilitator </w:t>
      </w:r>
      <w:r>
        <w:rPr>
          <w:rFonts w:ascii="Arial" w:hAnsi="Arial" w:cs="Arial"/>
          <w:sz w:val="20"/>
          <w:szCs w:val="20"/>
        </w:rPr>
        <w:t>must meet</w:t>
      </w:r>
      <w:r w:rsidRPr="00A4643D">
        <w:rPr>
          <w:rFonts w:ascii="Arial" w:hAnsi="Arial" w:cs="Arial"/>
          <w:sz w:val="20"/>
          <w:szCs w:val="20"/>
        </w:rPr>
        <w:t xml:space="preserve"> with a </w:t>
      </w:r>
      <w:r>
        <w:rPr>
          <w:rFonts w:ascii="Arial" w:hAnsi="Arial" w:cs="Arial"/>
          <w:sz w:val="20"/>
          <w:szCs w:val="20"/>
        </w:rPr>
        <w:t>postsecondary departmental</w:t>
      </w:r>
      <w:r w:rsidRPr="00A4643D">
        <w:rPr>
          <w:rFonts w:ascii="Arial" w:hAnsi="Arial" w:cs="Arial"/>
          <w:sz w:val="20"/>
          <w:szCs w:val="20"/>
        </w:rPr>
        <w:t xml:space="preserve"> representative </w:t>
      </w:r>
      <w:r>
        <w:rPr>
          <w:rFonts w:ascii="Arial" w:hAnsi="Arial" w:cs="Arial"/>
          <w:sz w:val="20"/>
          <w:szCs w:val="20"/>
        </w:rPr>
        <w:t xml:space="preserve">(or participate in a workshop offered by the institution) </w:t>
      </w:r>
      <w:r w:rsidRPr="00A4643D">
        <w:rPr>
          <w:rFonts w:ascii="Arial" w:hAnsi="Arial" w:cs="Arial"/>
          <w:sz w:val="20"/>
          <w:szCs w:val="20"/>
        </w:rPr>
        <w:t>within 1</w:t>
      </w:r>
      <w:r>
        <w:rPr>
          <w:rFonts w:ascii="Arial" w:hAnsi="Arial" w:cs="Arial"/>
          <w:sz w:val="20"/>
          <w:szCs w:val="20"/>
        </w:rPr>
        <w:t>2</w:t>
      </w:r>
      <w:r w:rsidRPr="00A4643D">
        <w:rPr>
          <w:rFonts w:ascii="Arial" w:hAnsi="Arial" w:cs="Arial"/>
          <w:sz w:val="20"/>
          <w:szCs w:val="20"/>
        </w:rPr>
        <w:t xml:space="preserve"> months </w:t>
      </w:r>
      <w:r>
        <w:rPr>
          <w:rFonts w:ascii="Arial" w:hAnsi="Arial" w:cs="Arial"/>
          <w:sz w:val="20"/>
          <w:szCs w:val="20"/>
        </w:rPr>
        <w:t xml:space="preserve">preceding the start of class </w:t>
      </w:r>
      <w:r w:rsidRPr="00A4643D">
        <w:rPr>
          <w:rFonts w:ascii="Arial" w:hAnsi="Arial" w:cs="Arial"/>
          <w:sz w:val="20"/>
          <w:szCs w:val="20"/>
        </w:rPr>
        <w:t xml:space="preserve">to review </w:t>
      </w:r>
      <w:r>
        <w:rPr>
          <w:rFonts w:ascii="Arial" w:hAnsi="Arial" w:cs="Arial"/>
          <w:sz w:val="20"/>
          <w:szCs w:val="20"/>
        </w:rPr>
        <w:t>the curriculum, course</w:t>
      </w:r>
      <w:r w:rsidRPr="00A4643D">
        <w:rPr>
          <w:rFonts w:ascii="Arial" w:hAnsi="Arial" w:cs="Arial"/>
          <w:sz w:val="20"/>
          <w:szCs w:val="20"/>
        </w:rPr>
        <w:t xml:space="preserve"> content, measurement, and student outcomes.</w:t>
      </w:r>
      <w:r w:rsidR="00E62924">
        <w:rPr>
          <w:rFonts w:ascii="Arial" w:hAnsi="Arial" w:cs="Arial"/>
          <w:sz w:val="20"/>
          <w:szCs w:val="20"/>
        </w:rPr>
        <w:t xml:space="preserve"> Each institution will report to the BoR a description of the process which DE instructors are required to complete prior to offering the course.</w:t>
      </w:r>
    </w:p>
    <w:p w14:paraId="7858A53B" w14:textId="77777777" w:rsidR="00AD06B1" w:rsidRPr="00A4643D" w:rsidRDefault="00AD06B1" w:rsidP="00D42BAF">
      <w:pPr>
        <w:pStyle w:val="ListParagraph"/>
        <w:spacing w:after="0" w:line="240" w:lineRule="auto"/>
        <w:contextualSpacing w:val="0"/>
        <w:rPr>
          <w:rFonts w:ascii="Arial" w:hAnsi="Arial" w:cs="Arial"/>
          <w:sz w:val="20"/>
          <w:szCs w:val="20"/>
        </w:rPr>
      </w:pPr>
    </w:p>
    <w:p w14:paraId="7BC7AF62" w14:textId="77777777" w:rsidR="003562F2" w:rsidRDefault="00AD06B1" w:rsidP="00D42BAF">
      <w:pPr>
        <w:spacing w:after="120"/>
        <w:rPr>
          <w:rFonts w:ascii="Arial" w:hAnsi="Arial" w:cs="Arial"/>
          <w:sz w:val="20"/>
        </w:rPr>
        <w:sectPr w:rsidR="003562F2" w:rsidSect="00FE681E">
          <w:footerReference w:type="default" r:id="rId10"/>
          <w:pgSz w:w="12240" w:h="15840"/>
          <w:pgMar w:top="806" w:right="1354" w:bottom="1080" w:left="1440" w:header="720" w:footer="504" w:gutter="0"/>
          <w:pgNumType w:start="1"/>
          <w:cols w:space="720"/>
          <w:docGrid w:linePitch="360"/>
        </w:sectPr>
      </w:pPr>
      <w:r>
        <w:rPr>
          <w:rFonts w:ascii="Arial" w:hAnsi="Arial" w:cs="Arial"/>
          <w:b/>
          <w:u w:val="single"/>
        </w:rPr>
        <w:t>Student Mix</w:t>
      </w:r>
      <w:r w:rsidRPr="00490E62">
        <w:rPr>
          <w:rFonts w:ascii="Arial" w:hAnsi="Arial" w:cs="Arial"/>
          <w:sz w:val="20"/>
        </w:rPr>
        <w:t xml:space="preserve">. </w:t>
      </w:r>
      <w:r>
        <w:rPr>
          <w:rFonts w:ascii="Arial" w:hAnsi="Arial" w:cs="Arial"/>
          <w:sz w:val="20"/>
        </w:rPr>
        <w:t xml:space="preserve">College courses offered for dual enrollment credit should be differentiated from regular HS </w:t>
      </w:r>
      <w:r w:rsidRPr="006D79EF">
        <w:rPr>
          <w:rFonts w:ascii="Arial" w:hAnsi="Arial" w:cs="Arial"/>
          <w:sz w:val="20"/>
        </w:rPr>
        <w:t xml:space="preserve">courses in content and performance expectations. The class may be comprised of all secondary students or a mix of both </w:t>
      </w:r>
      <w:r>
        <w:rPr>
          <w:rFonts w:ascii="Arial" w:hAnsi="Arial" w:cs="Arial"/>
          <w:sz w:val="20"/>
        </w:rPr>
        <w:t>HS</w:t>
      </w:r>
      <w:r w:rsidRPr="006D79EF">
        <w:rPr>
          <w:rFonts w:ascii="Arial" w:hAnsi="Arial" w:cs="Arial"/>
          <w:sz w:val="20"/>
        </w:rPr>
        <w:t xml:space="preserve"> and college students, but all participating in the course should be fully participating at the college level, whether enrolled for college credit or auditing for content or challenge. If a dual credit course includes students not taking the course for college credit, postsecondary institutions should be prepared to offer a compelling explanation as to how the </w:t>
      </w:r>
      <w:r w:rsidRPr="006D79EF">
        <w:rPr>
          <w:rFonts w:ascii="Arial" w:hAnsi="Arial" w:cs="Arial"/>
          <w:i/>
          <w:sz w:val="20"/>
        </w:rPr>
        <w:t>collegiate level</w:t>
      </w:r>
      <w:r w:rsidRPr="006D79EF">
        <w:rPr>
          <w:rFonts w:ascii="Arial" w:hAnsi="Arial" w:cs="Arial"/>
          <w:sz w:val="20"/>
        </w:rPr>
        <w:t xml:space="preserve"> of the course is ensured.</w:t>
      </w:r>
      <w:r>
        <w:rPr>
          <w:rFonts w:ascii="Arial" w:hAnsi="Arial" w:cs="Arial"/>
          <w:sz w:val="20"/>
        </w:rPr>
        <w:t xml:space="preserve">  </w:t>
      </w:r>
    </w:p>
    <w:p w14:paraId="36A0329F" w14:textId="77777777" w:rsidR="00A66719" w:rsidRDefault="00A66719" w:rsidP="00A66719">
      <w:pPr>
        <w:jc w:val="center"/>
        <w:rPr>
          <w:rFonts w:ascii="Arial" w:hAnsi="Arial" w:cs="Arial"/>
          <w:b/>
          <w:sz w:val="27"/>
          <w:szCs w:val="27"/>
        </w:rPr>
      </w:pPr>
      <w:r>
        <w:rPr>
          <w:noProof/>
        </w:rPr>
        <w:drawing>
          <wp:inline distT="0" distB="0" distL="0" distR="0" wp14:anchorId="535B501B" wp14:editId="711D02D5">
            <wp:extent cx="885825" cy="923366"/>
            <wp:effectExtent l="0" t="0" r="0" b="0"/>
            <wp:docPr id="3" name="Picture 3" descr="C:\Documents and Settings\amber.king\Desktop\Dropbox\Dropbox\regentsLogo-blue300dp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ber.king\Desktop\Dropbox\Dropbox\regentsLogo-blue300dpi copy.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17563" cy="956449"/>
                    </a:xfrm>
                    <a:prstGeom prst="rect">
                      <a:avLst/>
                    </a:prstGeom>
                    <a:noFill/>
                    <a:ln>
                      <a:noFill/>
                    </a:ln>
                  </pic:spPr>
                </pic:pic>
              </a:graphicData>
            </a:graphic>
          </wp:inline>
        </w:drawing>
      </w:r>
    </w:p>
    <w:p w14:paraId="3AC2C685" w14:textId="77777777" w:rsidR="006C2AAC" w:rsidRDefault="006C2AAC" w:rsidP="006C2AAC">
      <w:pPr>
        <w:jc w:val="center"/>
        <w:rPr>
          <w:rFonts w:ascii="Arial" w:hAnsi="Arial" w:cs="Arial"/>
          <w:b/>
          <w:sz w:val="27"/>
          <w:szCs w:val="27"/>
        </w:rPr>
      </w:pPr>
      <w:r>
        <w:rPr>
          <w:rFonts w:ascii="Arial" w:hAnsi="Arial" w:cs="Arial"/>
          <w:b/>
          <w:sz w:val="27"/>
          <w:szCs w:val="27"/>
        </w:rPr>
        <w:t>Academic Affairs Policy 2.22</w:t>
      </w:r>
    </w:p>
    <w:p w14:paraId="5D469E1A" w14:textId="77777777" w:rsidR="006C2AAC" w:rsidRDefault="006C2AAC" w:rsidP="006C2AAC">
      <w:pPr>
        <w:jc w:val="center"/>
        <w:rPr>
          <w:rFonts w:ascii="Arial" w:hAnsi="Arial" w:cs="Arial"/>
          <w:b/>
        </w:rPr>
      </w:pPr>
      <w:r>
        <w:rPr>
          <w:rFonts w:ascii="Arial" w:hAnsi="Arial" w:cs="Arial"/>
          <w:b/>
        </w:rPr>
        <w:t xml:space="preserve"> 20</w:t>
      </w:r>
      <w:r w:rsidRPr="003505C0">
        <w:rPr>
          <w:rFonts w:ascii="Arial" w:hAnsi="Arial" w:cs="Arial"/>
          <w:b/>
        </w:rPr>
        <w:t>19</w:t>
      </w:r>
      <w:r>
        <w:rPr>
          <w:rFonts w:ascii="Arial" w:hAnsi="Arial" w:cs="Arial"/>
          <w:b/>
        </w:rPr>
        <w:t xml:space="preserve"> </w:t>
      </w:r>
      <w:r w:rsidRPr="003505C0">
        <w:rPr>
          <w:rFonts w:ascii="Arial" w:hAnsi="Arial" w:cs="Arial"/>
          <w:b/>
        </w:rPr>
        <w:t xml:space="preserve">Minimum </w:t>
      </w:r>
      <w:r>
        <w:rPr>
          <w:rFonts w:ascii="Arial" w:hAnsi="Arial" w:cs="Arial"/>
          <w:b/>
        </w:rPr>
        <w:t xml:space="preserve">Dual Enrollment/Placement Scores </w:t>
      </w:r>
    </w:p>
    <w:p w14:paraId="792C37B7" w14:textId="77777777" w:rsidR="006C2AAC" w:rsidRPr="003505C0" w:rsidRDefault="006C2AAC" w:rsidP="006C2AAC">
      <w:pPr>
        <w:rPr>
          <w:rFonts w:ascii="Arial" w:hAnsi="Arial" w:cs="Arial"/>
          <w:b/>
          <w:sz w:val="20"/>
        </w:rPr>
      </w:pPr>
    </w:p>
    <w:p w14:paraId="30625361" w14:textId="77777777" w:rsidR="006C2AAC" w:rsidRPr="00530FFD" w:rsidRDefault="006C2AAC" w:rsidP="006C2AAC">
      <w:pPr>
        <w:spacing w:after="120"/>
        <w:rPr>
          <w:rFonts w:ascii="Arial" w:hAnsi="Arial" w:cs="Arial"/>
          <w:sz w:val="19"/>
          <w:szCs w:val="19"/>
        </w:rPr>
      </w:pPr>
      <w:r w:rsidRPr="001F38ED">
        <w:rPr>
          <w:rFonts w:ascii="Arial" w:hAnsi="Arial" w:cs="Arial"/>
          <w:sz w:val="18"/>
          <w:szCs w:val="19"/>
        </w:rPr>
        <w:t xml:space="preserve">Minimum scores are offered below for college-level enrollment. Postsecondary institutions may set higher scores for placement in particular courses or for high school enrollment in college courses.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3805"/>
        <w:gridCol w:w="2610"/>
        <w:gridCol w:w="2783"/>
      </w:tblGrid>
      <w:tr w:rsidR="006C2AAC" w:rsidRPr="003505C0" w14:paraId="03AB0FE9" w14:textId="77777777" w:rsidTr="009D1354">
        <w:trPr>
          <w:trHeight w:val="373"/>
        </w:trPr>
        <w:tc>
          <w:tcPr>
            <w:tcW w:w="919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725794B" w14:textId="77777777" w:rsidR="006C2AAC" w:rsidRPr="00224D10" w:rsidRDefault="006C2AAC" w:rsidP="009D1354">
            <w:pPr>
              <w:jc w:val="center"/>
              <w:rPr>
                <w:rFonts w:ascii="Arial" w:hAnsi="Arial" w:cs="Arial"/>
                <w:b/>
                <w:i/>
                <w:szCs w:val="21"/>
              </w:rPr>
            </w:pPr>
            <w:r w:rsidRPr="00530FFD">
              <w:rPr>
                <w:rFonts w:ascii="Arial" w:hAnsi="Arial" w:cs="Arial"/>
                <w:b/>
                <w:i/>
                <w:szCs w:val="21"/>
              </w:rPr>
              <w:t>Academic Courses (on the Master Articulation Matrix)</w:t>
            </w:r>
          </w:p>
        </w:tc>
      </w:tr>
      <w:tr w:rsidR="006C2AAC" w:rsidRPr="003505C0" w14:paraId="697E6092" w14:textId="77777777" w:rsidTr="009D1354">
        <w:trPr>
          <w:trHeight w:val="544"/>
        </w:trPr>
        <w:tc>
          <w:tcPr>
            <w:tcW w:w="919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48E1311" w14:textId="77777777" w:rsidR="006C2AAC" w:rsidRPr="00A91879" w:rsidRDefault="006C2AAC" w:rsidP="00A91879">
            <w:pPr>
              <w:jc w:val="center"/>
              <w:rPr>
                <w:rFonts w:ascii="Arial" w:hAnsi="Arial" w:cs="Arial"/>
                <w:sz w:val="20"/>
                <w:highlight w:val="yellow"/>
              </w:rPr>
            </w:pPr>
            <w:r w:rsidRPr="00A91879">
              <w:rPr>
                <w:rFonts w:ascii="Arial" w:hAnsi="Arial" w:cs="Arial"/>
                <w:sz w:val="20"/>
              </w:rPr>
              <w:t>Dual Enrollment students must have and maintain a cumulative HS GPA of at least 2.</w:t>
            </w:r>
            <w:r w:rsidR="00A91879" w:rsidRPr="00A91879">
              <w:rPr>
                <w:rFonts w:ascii="Arial" w:hAnsi="Arial" w:cs="Arial"/>
                <w:sz w:val="20"/>
              </w:rPr>
              <w:t>5</w:t>
            </w:r>
            <w:r w:rsidR="00F90F83" w:rsidRPr="00A91879">
              <w:rPr>
                <w:rFonts w:ascii="Arial" w:hAnsi="Arial" w:cs="Arial"/>
                <w:sz w:val="20"/>
              </w:rPr>
              <w:t>, verified by the high school, to initiate or continue dual enrollment.</w:t>
            </w:r>
          </w:p>
        </w:tc>
      </w:tr>
      <w:tr w:rsidR="006C2AAC" w:rsidRPr="003505C0" w14:paraId="55E95E45" w14:textId="77777777" w:rsidTr="009D1354">
        <w:trPr>
          <w:trHeight w:val="436"/>
        </w:trPr>
        <w:tc>
          <w:tcPr>
            <w:tcW w:w="3805" w:type="dxa"/>
            <w:tcBorders>
              <w:top w:val="single" w:sz="18" w:space="0" w:color="auto"/>
              <w:left w:val="single" w:sz="18" w:space="0" w:color="auto"/>
              <w:bottom w:val="single" w:sz="18" w:space="0" w:color="auto"/>
            </w:tcBorders>
            <w:shd w:val="clear" w:color="auto" w:fill="BFBFBF" w:themeFill="background1" w:themeFillShade="BF"/>
            <w:vAlign w:val="center"/>
          </w:tcPr>
          <w:p w14:paraId="304BA25F" w14:textId="77777777" w:rsidR="006C2AAC" w:rsidRPr="003505C0" w:rsidRDefault="006C2AAC" w:rsidP="009D1354">
            <w:pPr>
              <w:jc w:val="center"/>
              <w:rPr>
                <w:rFonts w:ascii="Arial" w:hAnsi="Arial" w:cs="Arial"/>
                <w:sz w:val="21"/>
                <w:szCs w:val="21"/>
              </w:rPr>
            </w:pPr>
          </w:p>
        </w:tc>
        <w:tc>
          <w:tcPr>
            <w:tcW w:w="2610" w:type="dxa"/>
            <w:tcBorders>
              <w:top w:val="single" w:sz="18" w:space="0" w:color="auto"/>
              <w:bottom w:val="single" w:sz="18" w:space="0" w:color="auto"/>
            </w:tcBorders>
            <w:shd w:val="clear" w:color="auto" w:fill="BFBFBF" w:themeFill="background1" w:themeFillShade="BF"/>
            <w:vAlign w:val="center"/>
          </w:tcPr>
          <w:p w14:paraId="60A0EE7A" w14:textId="77777777" w:rsidR="006C2AAC" w:rsidRPr="003505C0" w:rsidRDefault="006C2AAC" w:rsidP="009D1354">
            <w:pPr>
              <w:jc w:val="center"/>
              <w:rPr>
                <w:rFonts w:ascii="Arial" w:hAnsi="Arial" w:cs="Arial"/>
                <w:b/>
                <w:szCs w:val="21"/>
              </w:rPr>
            </w:pPr>
            <w:r w:rsidRPr="003505C0">
              <w:rPr>
                <w:rFonts w:ascii="Arial" w:hAnsi="Arial" w:cs="Arial"/>
                <w:b/>
                <w:szCs w:val="21"/>
              </w:rPr>
              <w:t>ENGLISH</w:t>
            </w:r>
          </w:p>
        </w:tc>
        <w:tc>
          <w:tcPr>
            <w:tcW w:w="2783" w:type="dxa"/>
            <w:tcBorders>
              <w:top w:val="single" w:sz="18" w:space="0" w:color="auto"/>
              <w:bottom w:val="single" w:sz="18" w:space="0" w:color="auto"/>
              <w:right w:val="single" w:sz="18" w:space="0" w:color="auto"/>
            </w:tcBorders>
            <w:shd w:val="clear" w:color="auto" w:fill="BFBFBF" w:themeFill="background1" w:themeFillShade="BF"/>
            <w:vAlign w:val="center"/>
          </w:tcPr>
          <w:p w14:paraId="18E9A19A" w14:textId="77777777" w:rsidR="006C2AAC" w:rsidRPr="003505C0" w:rsidRDefault="006C2AAC" w:rsidP="009D1354">
            <w:pPr>
              <w:jc w:val="center"/>
              <w:rPr>
                <w:rFonts w:ascii="Arial" w:hAnsi="Arial" w:cs="Arial"/>
                <w:b/>
                <w:szCs w:val="21"/>
              </w:rPr>
            </w:pPr>
            <w:r w:rsidRPr="003505C0">
              <w:rPr>
                <w:rFonts w:ascii="Arial" w:hAnsi="Arial" w:cs="Arial"/>
                <w:b/>
                <w:szCs w:val="21"/>
              </w:rPr>
              <w:t>MATHEMATICS*</w:t>
            </w:r>
          </w:p>
        </w:tc>
      </w:tr>
      <w:tr w:rsidR="006C2AAC" w:rsidRPr="003505C0" w14:paraId="280C07D1" w14:textId="77777777" w:rsidTr="009D1354">
        <w:trPr>
          <w:trHeight w:val="589"/>
        </w:trPr>
        <w:tc>
          <w:tcPr>
            <w:tcW w:w="9198" w:type="dxa"/>
            <w:gridSpan w:val="3"/>
            <w:tcBorders>
              <w:top w:val="single" w:sz="18" w:space="0" w:color="auto"/>
              <w:left w:val="single" w:sz="18" w:space="0" w:color="auto"/>
              <w:bottom w:val="nil"/>
              <w:right w:val="single" w:sz="18" w:space="0" w:color="auto"/>
            </w:tcBorders>
            <w:vAlign w:val="center"/>
          </w:tcPr>
          <w:p w14:paraId="74D26849" w14:textId="77777777" w:rsidR="006C2AAC" w:rsidRDefault="006C2AAC" w:rsidP="009D1354">
            <w:pPr>
              <w:rPr>
                <w:rFonts w:ascii="Arial" w:hAnsi="Arial" w:cs="Arial"/>
                <w:b/>
                <w:sz w:val="21"/>
                <w:szCs w:val="21"/>
              </w:rPr>
            </w:pPr>
            <w:r>
              <w:rPr>
                <w:rFonts w:ascii="Arial" w:hAnsi="Arial" w:cs="Arial"/>
                <w:b/>
                <w:sz w:val="21"/>
                <w:szCs w:val="21"/>
              </w:rPr>
              <w:t xml:space="preserve"> </w:t>
            </w:r>
            <w:r w:rsidRPr="003505C0">
              <w:rPr>
                <w:rFonts w:ascii="Arial" w:hAnsi="Arial" w:cs="Arial"/>
                <w:b/>
                <w:sz w:val="21"/>
                <w:szCs w:val="21"/>
              </w:rPr>
              <w:t xml:space="preserve">For students </w:t>
            </w:r>
            <w:r>
              <w:rPr>
                <w:rFonts w:ascii="Arial" w:hAnsi="Arial" w:cs="Arial"/>
                <w:b/>
                <w:sz w:val="21"/>
                <w:szCs w:val="21"/>
              </w:rPr>
              <w:t xml:space="preserve">with ACT or SAT scores.  </w:t>
            </w:r>
          </w:p>
          <w:p w14:paraId="46F7B5F3" w14:textId="77777777" w:rsidR="006C2AAC" w:rsidRPr="003505C0" w:rsidRDefault="006C2AAC" w:rsidP="009D1354">
            <w:pPr>
              <w:rPr>
                <w:rFonts w:ascii="Arial" w:hAnsi="Arial" w:cs="Arial"/>
                <w:b/>
                <w:sz w:val="21"/>
                <w:szCs w:val="21"/>
              </w:rPr>
            </w:pPr>
            <w:r>
              <w:rPr>
                <w:rFonts w:ascii="Arial" w:hAnsi="Arial" w:cs="Arial"/>
                <w:sz w:val="20"/>
                <w:szCs w:val="21"/>
              </w:rPr>
              <w:t xml:space="preserve"> </w:t>
            </w:r>
            <w:r w:rsidRPr="00224D10">
              <w:rPr>
                <w:rFonts w:ascii="Arial" w:hAnsi="Arial" w:cs="Arial"/>
                <w:sz w:val="20"/>
                <w:szCs w:val="21"/>
              </w:rPr>
              <w:t>(May use alternate measures for ACT</w:t>
            </w:r>
            <w:r>
              <w:rPr>
                <w:rFonts w:ascii="Arial" w:hAnsi="Arial" w:cs="Arial"/>
                <w:sz w:val="20"/>
                <w:szCs w:val="21"/>
              </w:rPr>
              <w:t>/SAT</w:t>
            </w:r>
            <w:r w:rsidRPr="00224D10">
              <w:rPr>
                <w:rFonts w:ascii="Arial" w:hAnsi="Arial" w:cs="Arial"/>
                <w:sz w:val="20"/>
                <w:szCs w:val="21"/>
              </w:rPr>
              <w:t xml:space="preserve"> score earned before 10</w:t>
            </w:r>
            <w:r w:rsidRPr="00224D10">
              <w:rPr>
                <w:rFonts w:ascii="Arial" w:hAnsi="Arial" w:cs="Arial"/>
                <w:sz w:val="20"/>
                <w:szCs w:val="21"/>
                <w:vertAlign w:val="superscript"/>
              </w:rPr>
              <w:t>th</w:t>
            </w:r>
            <w:r w:rsidRPr="00224D10">
              <w:rPr>
                <w:rFonts w:ascii="Arial" w:hAnsi="Arial" w:cs="Arial"/>
                <w:sz w:val="20"/>
                <w:szCs w:val="21"/>
              </w:rPr>
              <w:t xml:space="preserve"> grade.)</w:t>
            </w:r>
          </w:p>
        </w:tc>
      </w:tr>
      <w:tr w:rsidR="006C2AAC" w:rsidRPr="003505C0" w14:paraId="1994B759" w14:textId="77777777" w:rsidTr="009D1354">
        <w:trPr>
          <w:trHeight w:val="440"/>
        </w:trPr>
        <w:tc>
          <w:tcPr>
            <w:tcW w:w="3805" w:type="dxa"/>
            <w:tcBorders>
              <w:top w:val="single" w:sz="4" w:space="0" w:color="auto"/>
              <w:left w:val="single" w:sz="18" w:space="0" w:color="auto"/>
              <w:right w:val="single" w:sz="4" w:space="0" w:color="auto"/>
            </w:tcBorders>
            <w:vAlign w:val="center"/>
          </w:tcPr>
          <w:p w14:paraId="70949CE9" w14:textId="77777777" w:rsidR="006C2AAC" w:rsidRPr="003505C0" w:rsidRDefault="006C2AAC" w:rsidP="009D1354">
            <w:pPr>
              <w:jc w:val="center"/>
              <w:rPr>
                <w:rFonts w:ascii="Arial" w:hAnsi="Arial" w:cs="Arial"/>
                <w:sz w:val="21"/>
                <w:szCs w:val="21"/>
              </w:rPr>
            </w:pPr>
            <w:r w:rsidRPr="003505C0">
              <w:rPr>
                <w:rFonts w:ascii="Arial" w:hAnsi="Arial" w:cs="Arial"/>
                <w:sz w:val="21"/>
                <w:szCs w:val="21"/>
              </w:rPr>
              <w:t>ACT</w:t>
            </w:r>
            <w:r>
              <w:rPr>
                <w:rFonts w:ascii="Arial" w:hAnsi="Arial" w:cs="Arial"/>
                <w:sz w:val="21"/>
                <w:szCs w:val="21"/>
              </w:rPr>
              <w:t xml:space="preserve">  </w:t>
            </w:r>
            <w:r w:rsidRPr="00DC1A87">
              <w:rPr>
                <w:rFonts w:ascii="Arial" w:hAnsi="Arial" w:cs="Arial"/>
                <w:i/>
                <w:sz w:val="18"/>
                <w:szCs w:val="21"/>
              </w:rPr>
              <w:t>(≥19 Composite</w:t>
            </w:r>
            <w:r>
              <w:rPr>
                <w:rFonts w:ascii="Arial" w:hAnsi="Arial" w:cs="Arial"/>
                <w:i/>
                <w:sz w:val="18"/>
                <w:szCs w:val="21"/>
              </w:rPr>
              <w:t xml:space="preserve"> Score</w:t>
            </w:r>
            <w:r w:rsidRPr="00DC1A87">
              <w:rPr>
                <w:rFonts w:ascii="Arial" w:hAnsi="Arial" w:cs="Arial"/>
                <w:i/>
                <w:sz w:val="18"/>
                <w:szCs w:val="21"/>
              </w:rPr>
              <w:t>)</w:t>
            </w:r>
          </w:p>
        </w:tc>
        <w:tc>
          <w:tcPr>
            <w:tcW w:w="2610" w:type="dxa"/>
            <w:tcBorders>
              <w:top w:val="single" w:sz="4" w:space="0" w:color="auto"/>
              <w:left w:val="single" w:sz="4" w:space="0" w:color="auto"/>
              <w:right w:val="single" w:sz="4" w:space="0" w:color="auto"/>
            </w:tcBorders>
            <w:vAlign w:val="center"/>
          </w:tcPr>
          <w:p w14:paraId="10549B7F" w14:textId="77777777" w:rsidR="006C2AAC" w:rsidRPr="003505C0" w:rsidRDefault="006C2AAC" w:rsidP="009D1354">
            <w:pPr>
              <w:jc w:val="center"/>
              <w:rPr>
                <w:rFonts w:ascii="Arial" w:hAnsi="Arial" w:cs="Arial"/>
                <w:sz w:val="21"/>
                <w:szCs w:val="21"/>
              </w:rPr>
            </w:pPr>
            <w:r w:rsidRPr="003505C0">
              <w:rPr>
                <w:rFonts w:ascii="Arial" w:hAnsi="Arial" w:cs="Arial"/>
                <w:sz w:val="21"/>
                <w:szCs w:val="21"/>
              </w:rPr>
              <w:t>18</w:t>
            </w:r>
          </w:p>
        </w:tc>
        <w:tc>
          <w:tcPr>
            <w:tcW w:w="2783" w:type="dxa"/>
            <w:tcBorders>
              <w:top w:val="single" w:sz="4" w:space="0" w:color="auto"/>
              <w:left w:val="single" w:sz="4" w:space="0" w:color="auto"/>
              <w:right w:val="single" w:sz="18" w:space="0" w:color="auto"/>
            </w:tcBorders>
            <w:vAlign w:val="center"/>
          </w:tcPr>
          <w:p w14:paraId="18DE0C90" w14:textId="77777777" w:rsidR="006C2AAC" w:rsidRPr="003505C0" w:rsidRDefault="006C2AAC" w:rsidP="009D1354">
            <w:pPr>
              <w:jc w:val="center"/>
              <w:rPr>
                <w:rFonts w:ascii="Arial" w:hAnsi="Arial" w:cs="Arial"/>
                <w:sz w:val="21"/>
                <w:szCs w:val="21"/>
              </w:rPr>
            </w:pPr>
            <w:r w:rsidRPr="003505C0">
              <w:rPr>
                <w:rFonts w:ascii="Arial" w:hAnsi="Arial" w:cs="Arial"/>
                <w:sz w:val="21"/>
                <w:szCs w:val="21"/>
              </w:rPr>
              <w:t xml:space="preserve">19 </w:t>
            </w:r>
          </w:p>
        </w:tc>
      </w:tr>
      <w:tr w:rsidR="006C2AAC" w:rsidRPr="003505C0" w14:paraId="60D59FA9" w14:textId="77777777" w:rsidTr="009D1354">
        <w:trPr>
          <w:trHeight w:val="440"/>
        </w:trPr>
        <w:tc>
          <w:tcPr>
            <w:tcW w:w="3805" w:type="dxa"/>
            <w:tcBorders>
              <w:top w:val="single" w:sz="4" w:space="0" w:color="auto"/>
              <w:left w:val="single" w:sz="18" w:space="0" w:color="auto"/>
              <w:bottom w:val="single" w:sz="18" w:space="0" w:color="auto"/>
              <w:right w:val="single" w:sz="4" w:space="0" w:color="auto"/>
            </w:tcBorders>
            <w:vAlign w:val="center"/>
          </w:tcPr>
          <w:p w14:paraId="794A8C4C" w14:textId="77777777" w:rsidR="006C2AAC" w:rsidRPr="003505C0" w:rsidRDefault="006C2AAC" w:rsidP="009D1354">
            <w:pPr>
              <w:jc w:val="center"/>
              <w:rPr>
                <w:rFonts w:ascii="Arial" w:hAnsi="Arial" w:cs="Arial"/>
                <w:sz w:val="21"/>
                <w:szCs w:val="21"/>
              </w:rPr>
            </w:pPr>
            <w:r>
              <w:rPr>
                <w:rFonts w:ascii="Arial" w:hAnsi="Arial" w:cs="Arial"/>
                <w:sz w:val="21"/>
                <w:szCs w:val="21"/>
              </w:rPr>
              <w:t>SAT  (</w:t>
            </w:r>
            <w:r>
              <w:rPr>
                <w:rFonts w:ascii="Arial" w:hAnsi="Arial" w:cs="Arial"/>
                <w:i/>
                <w:sz w:val="18"/>
                <w:szCs w:val="21"/>
              </w:rPr>
              <w:t>≥1010 Total Score)</w:t>
            </w:r>
          </w:p>
        </w:tc>
        <w:tc>
          <w:tcPr>
            <w:tcW w:w="2610" w:type="dxa"/>
            <w:tcBorders>
              <w:top w:val="single" w:sz="4" w:space="0" w:color="auto"/>
              <w:left w:val="single" w:sz="4" w:space="0" w:color="auto"/>
              <w:bottom w:val="single" w:sz="18" w:space="0" w:color="auto"/>
              <w:right w:val="single" w:sz="4" w:space="0" w:color="auto"/>
            </w:tcBorders>
            <w:vAlign w:val="center"/>
          </w:tcPr>
          <w:p w14:paraId="3BF53DF0" w14:textId="77777777" w:rsidR="006C2AAC" w:rsidRPr="003505C0" w:rsidRDefault="006C2AAC" w:rsidP="009D1354">
            <w:pPr>
              <w:jc w:val="center"/>
              <w:rPr>
                <w:rFonts w:ascii="Arial" w:hAnsi="Arial" w:cs="Arial"/>
                <w:sz w:val="21"/>
                <w:szCs w:val="21"/>
              </w:rPr>
            </w:pPr>
            <w:r>
              <w:rPr>
                <w:rFonts w:ascii="Arial" w:hAnsi="Arial" w:cs="Arial"/>
                <w:sz w:val="21"/>
                <w:szCs w:val="21"/>
              </w:rPr>
              <w:t>500 ERW</w:t>
            </w:r>
          </w:p>
        </w:tc>
        <w:tc>
          <w:tcPr>
            <w:tcW w:w="2783" w:type="dxa"/>
            <w:tcBorders>
              <w:top w:val="single" w:sz="4" w:space="0" w:color="auto"/>
              <w:left w:val="single" w:sz="4" w:space="0" w:color="auto"/>
              <w:bottom w:val="single" w:sz="18" w:space="0" w:color="auto"/>
              <w:right w:val="single" w:sz="18" w:space="0" w:color="auto"/>
            </w:tcBorders>
            <w:vAlign w:val="center"/>
          </w:tcPr>
          <w:p w14:paraId="4A56039E" w14:textId="77777777" w:rsidR="006C2AAC" w:rsidRPr="003505C0" w:rsidRDefault="006C2AAC" w:rsidP="009D1354">
            <w:pPr>
              <w:jc w:val="center"/>
              <w:rPr>
                <w:rFonts w:ascii="Arial" w:hAnsi="Arial" w:cs="Arial"/>
                <w:sz w:val="21"/>
                <w:szCs w:val="21"/>
              </w:rPr>
            </w:pPr>
            <w:r>
              <w:rPr>
                <w:rFonts w:ascii="Arial" w:hAnsi="Arial" w:cs="Arial"/>
                <w:sz w:val="21"/>
                <w:szCs w:val="21"/>
              </w:rPr>
              <w:t>510</w:t>
            </w:r>
          </w:p>
        </w:tc>
      </w:tr>
      <w:tr w:rsidR="006C2AAC" w:rsidRPr="003505C0" w14:paraId="031DAFB2" w14:textId="77777777" w:rsidTr="009D1354">
        <w:trPr>
          <w:trHeight w:val="661"/>
        </w:trPr>
        <w:tc>
          <w:tcPr>
            <w:tcW w:w="9198" w:type="dxa"/>
            <w:gridSpan w:val="3"/>
            <w:tcBorders>
              <w:top w:val="single" w:sz="18" w:space="0" w:color="auto"/>
              <w:left w:val="single" w:sz="18" w:space="0" w:color="auto"/>
              <w:right w:val="single" w:sz="18" w:space="0" w:color="auto"/>
            </w:tcBorders>
            <w:vAlign w:val="center"/>
          </w:tcPr>
          <w:p w14:paraId="7E5AF95F" w14:textId="77777777" w:rsidR="006C2AAC" w:rsidRDefault="006C2AAC" w:rsidP="009D1354">
            <w:pPr>
              <w:rPr>
                <w:rFonts w:ascii="Arial" w:hAnsi="Arial" w:cs="Arial"/>
                <w:sz w:val="21"/>
                <w:szCs w:val="21"/>
              </w:rPr>
            </w:pPr>
            <w:r>
              <w:rPr>
                <w:rFonts w:ascii="Arial" w:hAnsi="Arial" w:cs="Arial"/>
                <w:b/>
                <w:sz w:val="21"/>
                <w:szCs w:val="21"/>
              </w:rPr>
              <w:t xml:space="preserve"> </w:t>
            </w:r>
            <w:r w:rsidRPr="00097190">
              <w:rPr>
                <w:rFonts w:ascii="Arial" w:hAnsi="Arial" w:cs="Arial"/>
                <w:b/>
                <w:sz w:val="21"/>
                <w:szCs w:val="21"/>
              </w:rPr>
              <w:t>For students who have taken the ACT/SAT</w:t>
            </w:r>
            <w:r w:rsidRPr="002E30E3">
              <w:rPr>
                <w:rFonts w:ascii="Arial" w:hAnsi="Arial" w:cs="Arial"/>
                <w:sz w:val="20"/>
                <w:szCs w:val="21"/>
              </w:rPr>
              <w:t xml:space="preserve"> </w:t>
            </w:r>
            <w:r>
              <w:rPr>
                <w:rFonts w:ascii="Arial" w:hAnsi="Arial" w:cs="Arial"/>
                <w:sz w:val="20"/>
                <w:szCs w:val="21"/>
              </w:rPr>
              <w:t>(with an</w:t>
            </w:r>
            <w:r w:rsidRPr="00C529D2">
              <w:rPr>
                <w:rFonts w:ascii="Arial" w:hAnsi="Arial" w:cs="Arial"/>
                <w:sz w:val="20"/>
                <w:szCs w:val="21"/>
              </w:rPr>
              <w:t xml:space="preserve"> ACT </w:t>
            </w:r>
            <w:r w:rsidRPr="00C529D2">
              <w:rPr>
                <w:rFonts w:ascii="Arial" w:hAnsi="Arial" w:cs="Arial"/>
                <w:sz w:val="20"/>
                <w:szCs w:val="21"/>
                <w:u w:val="single"/>
              </w:rPr>
              <w:t xml:space="preserve">Composite Score </w:t>
            </w:r>
            <w:r w:rsidRPr="00C529D2">
              <w:rPr>
                <w:rFonts w:ascii="Arial" w:hAnsi="Arial" w:cs="Arial"/>
                <w:i/>
                <w:sz w:val="18"/>
                <w:szCs w:val="21"/>
                <w:u w:val="single"/>
              </w:rPr>
              <w:t>≥19</w:t>
            </w:r>
            <w:r>
              <w:rPr>
                <w:rFonts w:ascii="Arial" w:hAnsi="Arial" w:cs="Arial"/>
                <w:i/>
                <w:sz w:val="18"/>
                <w:szCs w:val="21"/>
              </w:rPr>
              <w:t>)</w:t>
            </w:r>
            <w:r>
              <w:rPr>
                <w:rFonts w:ascii="Arial" w:hAnsi="Arial" w:cs="Arial"/>
                <w:sz w:val="20"/>
                <w:szCs w:val="21"/>
              </w:rPr>
              <w:t xml:space="preserve"> </w:t>
            </w:r>
            <w:r w:rsidRPr="002E30E3">
              <w:rPr>
                <w:rFonts w:ascii="Arial" w:hAnsi="Arial" w:cs="Arial"/>
                <w:sz w:val="20"/>
                <w:szCs w:val="21"/>
              </w:rPr>
              <w:t xml:space="preserve">and </w:t>
            </w:r>
            <w:r>
              <w:rPr>
                <w:rFonts w:ascii="Arial" w:hAnsi="Arial" w:cs="Arial"/>
                <w:sz w:val="20"/>
                <w:szCs w:val="21"/>
              </w:rPr>
              <w:t>seek</w:t>
            </w:r>
            <w:r w:rsidRPr="002E30E3">
              <w:rPr>
                <w:rFonts w:ascii="Arial" w:hAnsi="Arial" w:cs="Arial"/>
                <w:sz w:val="20"/>
                <w:szCs w:val="21"/>
              </w:rPr>
              <w:t xml:space="preserve"> an alternate measure</w:t>
            </w:r>
            <w:r>
              <w:rPr>
                <w:rFonts w:ascii="Arial" w:hAnsi="Arial" w:cs="Arial"/>
                <w:sz w:val="20"/>
                <w:szCs w:val="21"/>
              </w:rPr>
              <w:t xml:space="preserve"> in English </w:t>
            </w:r>
            <w:r w:rsidRPr="00530FFD">
              <w:rPr>
                <w:rFonts w:ascii="Arial" w:hAnsi="Arial" w:cs="Arial"/>
                <w:i/>
                <w:sz w:val="20"/>
                <w:szCs w:val="21"/>
              </w:rPr>
              <w:t>or</w:t>
            </w:r>
            <w:r>
              <w:rPr>
                <w:rFonts w:ascii="Arial" w:hAnsi="Arial" w:cs="Arial"/>
                <w:sz w:val="20"/>
                <w:szCs w:val="21"/>
              </w:rPr>
              <w:t xml:space="preserve"> Math</w:t>
            </w:r>
            <w:r>
              <w:rPr>
                <w:rFonts w:ascii="Arial" w:hAnsi="Arial" w:cs="Arial"/>
                <w:sz w:val="21"/>
                <w:szCs w:val="21"/>
              </w:rPr>
              <w:t>.</w:t>
            </w:r>
          </w:p>
        </w:tc>
      </w:tr>
      <w:tr w:rsidR="006C2AAC" w:rsidRPr="003505C0" w14:paraId="6B65CD61" w14:textId="77777777" w:rsidTr="009D1354">
        <w:trPr>
          <w:trHeight w:val="440"/>
        </w:trPr>
        <w:tc>
          <w:tcPr>
            <w:tcW w:w="3805" w:type="dxa"/>
            <w:tcBorders>
              <w:top w:val="single" w:sz="4" w:space="0" w:color="auto"/>
              <w:left w:val="single" w:sz="18" w:space="0" w:color="auto"/>
              <w:right w:val="single" w:sz="4" w:space="0" w:color="auto"/>
            </w:tcBorders>
            <w:vAlign w:val="center"/>
          </w:tcPr>
          <w:p w14:paraId="24E9EEA5" w14:textId="77777777" w:rsidR="006C2AAC" w:rsidRPr="00097190" w:rsidRDefault="006C2AAC" w:rsidP="009D1354">
            <w:pPr>
              <w:jc w:val="center"/>
              <w:rPr>
                <w:rFonts w:ascii="Arial" w:hAnsi="Arial" w:cs="Arial"/>
                <w:sz w:val="21"/>
                <w:szCs w:val="21"/>
              </w:rPr>
            </w:pPr>
            <w:r w:rsidRPr="00097190">
              <w:rPr>
                <w:rFonts w:ascii="Arial" w:hAnsi="Arial" w:cs="Arial"/>
                <w:sz w:val="21"/>
                <w:szCs w:val="21"/>
              </w:rPr>
              <w:t>ACCUPLACER</w:t>
            </w:r>
          </w:p>
        </w:tc>
        <w:tc>
          <w:tcPr>
            <w:tcW w:w="2610" w:type="dxa"/>
            <w:tcBorders>
              <w:top w:val="single" w:sz="4" w:space="0" w:color="auto"/>
              <w:left w:val="single" w:sz="4" w:space="0" w:color="auto"/>
              <w:right w:val="single" w:sz="4" w:space="0" w:color="auto"/>
            </w:tcBorders>
            <w:vAlign w:val="center"/>
          </w:tcPr>
          <w:p w14:paraId="3D750583" w14:textId="77777777" w:rsidR="006C2AAC" w:rsidRPr="00097190" w:rsidRDefault="006C2AAC" w:rsidP="009D1354">
            <w:pPr>
              <w:jc w:val="center"/>
              <w:rPr>
                <w:rFonts w:ascii="Arial" w:hAnsi="Arial" w:cs="Arial"/>
                <w:sz w:val="21"/>
                <w:szCs w:val="21"/>
              </w:rPr>
            </w:pPr>
            <w:r w:rsidRPr="00097190">
              <w:rPr>
                <w:rFonts w:ascii="Arial" w:hAnsi="Arial" w:cs="Arial"/>
                <w:sz w:val="21"/>
                <w:szCs w:val="21"/>
              </w:rPr>
              <w:t>86 Sent</w:t>
            </w:r>
            <w:r>
              <w:rPr>
                <w:rFonts w:ascii="Arial" w:hAnsi="Arial" w:cs="Arial"/>
                <w:sz w:val="21"/>
                <w:szCs w:val="21"/>
              </w:rPr>
              <w:t>ence</w:t>
            </w:r>
            <w:r w:rsidRPr="00097190">
              <w:rPr>
                <w:rFonts w:ascii="Arial" w:hAnsi="Arial" w:cs="Arial"/>
                <w:sz w:val="21"/>
                <w:szCs w:val="21"/>
              </w:rPr>
              <w:t xml:space="preserve"> Struc</w:t>
            </w:r>
            <w:r>
              <w:rPr>
                <w:rFonts w:ascii="Arial" w:hAnsi="Arial" w:cs="Arial"/>
                <w:sz w:val="21"/>
                <w:szCs w:val="21"/>
              </w:rPr>
              <w:t>ture</w:t>
            </w:r>
          </w:p>
        </w:tc>
        <w:tc>
          <w:tcPr>
            <w:tcW w:w="2783" w:type="dxa"/>
            <w:tcBorders>
              <w:top w:val="single" w:sz="4" w:space="0" w:color="auto"/>
              <w:left w:val="single" w:sz="4" w:space="0" w:color="auto"/>
              <w:right w:val="single" w:sz="18" w:space="0" w:color="auto"/>
            </w:tcBorders>
            <w:vAlign w:val="center"/>
          </w:tcPr>
          <w:p w14:paraId="4D614DB4" w14:textId="77777777" w:rsidR="006C2AAC" w:rsidRPr="00097190" w:rsidRDefault="006C2AAC" w:rsidP="009D1354">
            <w:pPr>
              <w:jc w:val="center"/>
              <w:rPr>
                <w:rFonts w:ascii="Arial" w:hAnsi="Arial" w:cs="Arial"/>
                <w:sz w:val="21"/>
                <w:szCs w:val="21"/>
              </w:rPr>
            </w:pPr>
            <w:r w:rsidRPr="00097190">
              <w:rPr>
                <w:rFonts w:ascii="Arial" w:hAnsi="Arial" w:cs="Arial"/>
                <w:sz w:val="21"/>
                <w:szCs w:val="21"/>
              </w:rPr>
              <w:t xml:space="preserve">65  (Elem </w:t>
            </w:r>
            <w:proofErr w:type="spellStart"/>
            <w:r w:rsidRPr="00097190">
              <w:rPr>
                <w:rFonts w:ascii="Arial" w:hAnsi="Arial" w:cs="Arial"/>
                <w:sz w:val="21"/>
                <w:szCs w:val="21"/>
              </w:rPr>
              <w:t>Alg</w:t>
            </w:r>
            <w:proofErr w:type="spellEnd"/>
            <w:r w:rsidRPr="00097190">
              <w:rPr>
                <w:rFonts w:ascii="Arial" w:hAnsi="Arial" w:cs="Arial"/>
                <w:sz w:val="21"/>
                <w:szCs w:val="21"/>
              </w:rPr>
              <w:t>)</w:t>
            </w:r>
          </w:p>
          <w:p w14:paraId="28EEC770" w14:textId="77777777" w:rsidR="006C2AAC" w:rsidRPr="00097190" w:rsidRDefault="006C2AAC" w:rsidP="009D1354">
            <w:pPr>
              <w:jc w:val="center"/>
              <w:rPr>
                <w:rFonts w:ascii="Arial" w:hAnsi="Arial" w:cs="Arial"/>
                <w:sz w:val="21"/>
                <w:szCs w:val="21"/>
              </w:rPr>
            </w:pPr>
            <w:r w:rsidRPr="00097190">
              <w:rPr>
                <w:rFonts w:ascii="Arial" w:hAnsi="Arial" w:cs="Arial"/>
                <w:sz w:val="21"/>
                <w:szCs w:val="21"/>
              </w:rPr>
              <w:t>40  (Col-</w:t>
            </w:r>
            <w:proofErr w:type="spellStart"/>
            <w:r w:rsidRPr="00097190">
              <w:rPr>
                <w:rFonts w:ascii="Arial" w:hAnsi="Arial" w:cs="Arial"/>
                <w:sz w:val="21"/>
                <w:szCs w:val="21"/>
              </w:rPr>
              <w:t>Lvl</w:t>
            </w:r>
            <w:proofErr w:type="spellEnd"/>
            <w:r w:rsidRPr="00097190">
              <w:rPr>
                <w:rFonts w:ascii="Arial" w:hAnsi="Arial" w:cs="Arial"/>
                <w:sz w:val="21"/>
                <w:szCs w:val="21"/>
              </w:rPr>
              <w:t xml:space="preserve"> Math)</w:t>
            </w:r>
          </w:p>
        </w:tc>
      </w:tr>
      <w:tr w:rsidR="006C2AAC" w:rsidRPr="003505C0" w14:paraId="403A0B81" w14:textId="77777777" w:rsidTr="009D1354">
        <w:trPr>
          <w:trHeight w:val="440"/>
        </w:trPr>
        <w:tc>
          <w:tcPr>
            <w:tcW w:w="3805" w:type="dxa"/>
            <w:tcBorders>
              <w:top w:val="single" w:sz="4" w:space="0" w:color="auto"/>
              <w:left w:val="single" w:sz="18" w:space="0" w:color="auto"/>
              <w:right w:val="single" w:sz="4" w:space="0" w:color="auto"/>
            </w:tcBorders>
            <w:vAlign w:val="center"/>
          </w:tcPr>
          <w:p w14:paraId="3B84FD32" w14:textId="77777777" w:rsidR="006C2AAC" w:rsidRPr="00097190" w:rsidRDefault="006C2AAC" w:rsidP="009D1354">
            <w:pPr>
              <w:jc w:val="center"/>
              <w:rPr>
                <w:rFonts w:ascii="Arial" w:hAnsi="Arial" w:cs="Arial"/>
                <w:sz w:val="21"/>
                <w:szCs w:val="21"/>
              </w:rPr>
            </w:pPr>
            <w:r>
              <w:rPr>
                <w:rFonts w:ascii="Arial" w:hAnsi="Arial" w:cs="Arial"/>
                <w:sz w:val="21"/>
                <w:szCs w:val="21"/>
              </w:rPr>
              <w:t>ACCUPLACER NG</w:t>
            </w:r>
          </w:p>
        </w:tc>
        <w:tc>
          <w:tcPr>
            <w:tcW w:w="2610" w:type="dxa"/>
            <w:tcBorders>
              <w:top w:val="single" w:sz="4" w:space="0" w:color="auto"/>
              <w:left w:val="single" w:sz="4" w:space="0" w:color="auto"/>
              <w:right w:val="single" w:sz="4" w:space="0" w:color="auto"/>
            </w:tcBorders>
            <w:vAlign w:val="center"/>
          </w:tcPr>
          <w:p w14:paraId="77F243D9" w14:textId="77777777" w:rsidR="006C2AAC" w:rsidRPr="00097190" w:rsidRDefault="006C2AAC" w:rsidP="009D1354">
            <w:pPr>
              <w:jc w:val="center"/>
              <w:rPr>
                <w:rFonts w:ascii="Arial" w:hAnsi="Arial" w:cs="Arial"/>
                <w:sz w:val="21"/>
                <w:szCs w:val="21"/>
              </w:rPr>
            </w:pPr>
            <w:r>
              <w:rPr>
                <w:rFonts w:ascii="Arial" w:hAnsi="Arial" w:cs="Arial"/>
                <w:sz w:val="21"/>
                <w:szCs w:val="21"/>
              </w:rPr>
              <w:t>250 Writing</w:t>
            </w:r>
          </w:p>
        </w:tc>
        <w:tc>
          <w:tcPr>
            <w:tcW w:w="2783" w:type="dxa"/>
            <w:tcBorders>
              <w:top w:val="single" w:sz="4" w:space="0" w:color="auto"/>
              <w:left w:val="single" w:sz="4" w:space="0" w:color="auto"/>
              <w:right w:val="single" w:sz="18" w:space="0" w:color="auto"/>
            </w:tcBorders>
            <w:vAlign w:val="center"/>
          </w:tcPr>
          <w:p w14:paraId="2421D01F" w14:textId="77777777" w:rsidR="006C2AAC" w:rsidRPr="00097190" w:rsidRDefault="006C2AAC" w:rsidP="009D1354">
            <w:pPr>
              <w:jc w:val="center"/>
              <w:rPr>
                <w:rFonts w:ascii="Arial" w:hAnsi="Arial" w:cs="Arial"/>
                <w:sz w:val="21"/>
                <w:szCs w:val="21"/>
              </w:rPr>
            </w:pPr>
            <w:r>
              <w:rPr>
                <w:rFonts w:ascii="Arial" w:hAnsi="Arial" w:cs="Arial"/>
                <w:sz w:val="21"/>
                <w:szCs w:val="21"/>
              </w:rPr>
              <w:t>250  (QRAS)</w:t>
            </w:r>
          </w:p>
        </w:tc>
      </w:tr>
      <w:tr w:rsidR="006C2AAC" w:rsidRPr="003505C0" w14:paraId="39C2BF89" w14:textId="77777777" w:rsidTr="006C2AAC">
        <w:trPr>
          <w:trHeight w:val="440"/>
        </w:trPr>
        <w:tc>
          <w:tcPr>
            <w:tcW w:w="9198" w:type="dxa"/>
            <w:gridSpan w:val="3"/>
            <w:tcBorders>
              <w:top w:val="single" w:sz="4" w:space="0" w:color="auto"/>
              <w:left w:val="single" w:sz="18" w:space="0" w:color="auto"/>
              <w:right w:val="single" w:sz="18" w:space="0" w:color="auto"/>
            </w:tcBorders>
            <w:shd w:val="clear" w:color="auto" w:fill="D9D9D9" w:themeFill="background1" w:themeFillShade="D9"/>
            <w:vAlign w:val="center"/>
          </w:tcPr>
          <w:p w14:paraId="0DD83054" w14:textId="77777777" w:rsidR="006C2AAC" w:rsidRDefault="006C2AAC" w:rsidP="009D1354">
            <w:pPr>
              <w:rPr>
                <w:rFonts w:ascii="Arial" w:hAnsi="Arial" w:cs="Arial"/>
                <w:sz w:val="21"/>
                <w:szCs w:val="21"/>
              </w:rPr>
            </w:pPr>
            <w:r w:rsidRPr="00097190">
              <w:rPr>
                <w:rFonts w:ascii="Arial" w:hAnsi="Arial" w:cs="Arial"/>
                <w:i/>
                <w:sz w:val="20"/>
                <w:szCs w:val="18"/>
              </w:rPr>
              <w:t>*</w:t>
            </w:r>
            <w:r w:rsidRPr="00097190">
              <w:rPr>
                <w:rFonts w:ascii="Arial" w:hAnsi="Arial" w:cs="Arial"/>
                <w:i/>
                <w:sz w:val="20"/>
                <w:szCs w:val="18"/>
              </w:rPr>
              <w:tab/>
            </w:r>
            <w:r w:rsidRPr="00C529D2">
              <w:rPr>
                <w:rFonts w:ascii="Arial" w:hAnsi="Arial" w:cs="Arial"/>
                <w:i/>
                <w:sz w:val="19"/>
                <w:szCs w:val="19"/>
              </w:rPr>
              <w:t xml:space="preserve">For College Algebra: ≥ 70 Accuplacer College-Level Math or ≥ 263 QRAS is recommended. </w:t>
            </w:r>
          </w:p>
        </w:tc>
      </w:tr>
      <w:tr w:rsidR="006C2AAC" w:rsidRPr="003505C0" w14:paraId="0DE5B737" w14:textId="77777777" w:rsidTr="009D1354">
        <w:trPr>
          <w:trHeight w:val="553"/>
        </w:trPr>
        <w:tc>
          <w:tcPr>
            <w:tcW w:w="9198" w:type="dxa"/>
            <w:gridSpan w:val="3"/>
            <w:tcBorders>
              <w:top w:val="single" w:sz="18" w:space="0" w:color="auto"/>
              <w:left w:val="single" w:sz="18" w:space="0" w:color="auto"/>
              <w:right w:val="single" w:sz="18" w:space="0" w:color="auto"/>
            </w:tcBorders>
            <w:vAlign w:val="center"/>
          </w:tcPr>
          <w:p w14:paraId="7F3ACD5F" w14:textId="77777777" w:rsidR="006C2AAC" w:rsidRPr="003505C0" w:rsidRDefault="006C2AAC" w:rsidP="009D1354">
            <w:pPr>
              <w:rPr>
                <w:rFonts w:ascii="Arial" w:hAnsi="Arial" w:cs="Arial"/>
                <w:b/>
                <w:sz w:val="21"/>
                <w:szCs w:val="21"/>
              </w:rPr>
            </w:pPr>
            <w:r>
              <w:rPr>
                <w:rFonts w:ascii="Arial" w:hAnsi="Arial" w:cs="Arial"/>
                <w:b/>
                <w:sz w:val="21"/>
                <w:szCs w:val="21"/>
              </w:rPr>
              <w:t xml:space="preserve"> </w:t>
            </w:r>
            <w:r w:rsidRPr="003505C0">
              <w:rPr>
                <w:rFonts w:ascii="Arial" w:hAnsi="Arial" w:cs="Arial"/>
                <w:b/>
                <w:sz w:val="21"/>
                <w:szCs w:val="21"/>
              </w:rPr>
              <w:t xml:space="preserve">For </w:t>
            </w:r>
            <w:r w:rsidRPr="008D6946">
              <w:rPr>
                <w:rFonts w:ascii="Arial" w:hAnsi="Arial" w:cs="Arial"/>
                <w:b/>
                <w:sz w:val="21"/>
                <w:szCs w:val="21"/>
              </w:rPr>
              <w:t xml:space="preserve">students who have not yet taken the ACT/SAT in high </w:t>
            </w:r>
            <w:proofErr w:type="gramStart"/>
            <w:r w:rsidRPr="008D6946">
              <w:rPr>
                <w:rFonts w:ascii="Arial" w:hAnsi="Arial" w:cs="Arial"/>
                <w:b/>
                <w:sz w:val="21"/>
                <w:szCs w:val="21"/>
              </w:rPr>
              <w:t>school</w:t>
            </w:r>
            <w:r>
              <w:rPr>
                <w:rFonts w:ascii="Arial" w:hAnsi="Arial" w:cs="Arial"/>
                <w:b/>
                <w:sz w:val="21"/>
                <w:szCs w:val="21"/>
              </w:rPr>
              <w:t>.</w:t>
            </w:r>
            <w:r w:rsidRPr="008D6946">
              <w:rPr>
                <w:rFonts w:ascii="Arial" w:hAnsi="Arial" w:cs="Arial"/>
                <w:b/>
                <w:sz w:val="21"/>
                <w:szCs w:val="21"/>
              </w:rPr>
              <w:t>*</w:t>
            </w:r>
            <w:proofErr w:type="gramEnd"/>
            <w:r w:rsidRPr="008D6946">
              <w:rPr>
                <w:rFonts w:ascii="Arial" w:hAnsi="Arial" w:cs="Arial"/>
                <w:b/>
                <w:sz w:val="21"/>
                <w:szCs w:val="21"/>
              </w:rPr>
              <w:t>*</w:t>
            </w:r>
          </w:p>
        </w:tc>
      </w:tr>
      <w:tr w:rsidR="006C2AAC" w:rsidRPr="003505C0" w14:paraId="27376DAF" w14:textId="77777777" w:rsidTr="009D1354">
        <w:trPr>
          <w:trHeight w:val="444"/>
        </w:trPr>
        <w:tc>
          <w:tcPr>
            <w:tcW w:w="3805" w:type="dxa"/>
            <w:tcBorders>
              <w:left w:val="single" w:sz="18" w:space="0" w:color="auto"/>
              <w:bottom w:val="single" w:sz="4" w:space="0" w:color="auto"/>
            </w:tcBorders>
            <w:vAlign w:val="center"/>
          </w:tcPr>
          <w:p w14:paraId="40B27CA4"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ASPIRE  (</w:t>
            </w:r>
            <w:r w:rsidRPr="006A083A">
              <w:rPr>
                <w:rFonts w:ascii="Arial" w:hAnsi="Arial" w:cs="Arial"/>
                <w:i/>
                <w:sz w:val="18"/>
                <w:szCs w:val="21"/>
              </w:rPr>
              <w:t>≥430 Composite Score)</w:t>
            </w:r>
          </w:p>
        </w:tc>
        <w:tc>
          <w:tcPr>
            <w:tcW w:w="2610" w:type="dxa"/>
            <w:tcBorders>
              <w:bottom w:val="single" w:sz="4" w:space="0" w:color="auto"/>
            </w:tcBorders>
            <w:vAlign w:val="center"/>
          </w:tcPr>
          <w:p w14:paraId="1A647A3E"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433</w:t>
            </w:r>
          </w:p>
        </w:tc>
        <w:tc>
          <w:tcPr>
            <w:tcW w:w="2783" w:type="dxa"/>
            <w:tcBorders>
              <w:bottom w:val="single" w:sz="4" w:space="0" w:color="auto"/>
              <w:right w:val="single" w:sz="18" w:space="0" w:color="auto"/>
            </w:tcBorders>
            <w:vAlign w:val="center"/>
          </w:tcPr>
          <w:p w14:paraId="1BB26E1F" w14:textId="77777777" w:rsidR="006C2AAC" w:rsidRPr="003505C0" w:rsidRDefault="006C2AAC" w:rsidP="009D1354">
            <w:pPr>
              <w:jc w:val="center"/>
              <w:rPr>
                <w:rFonts w:ascii="Arial" w:hAnsi="Arial" w:cs="Arial"/>
                <w:sz w:val="21"/>
                <w:szCs w:val="21"/>
              </w:rPr>
            </w:pPr>
            <w:r w:rsidRPr="003505C0">
              <w:rPr>
                <w:rFonts w:ascii="Arial" w:hAnsi="Arial" w:cs="Arial"/>
                <w:sz w:val="21"/>
                <w:szCs w:val="21"/>
              </w:rPr>
              <w:t>431</w:t>
            </w:r>
          </w:p>
        </w:tc>
      </w:tr>
      <w:tr w:rsidR="006C2AAC" w:rsidRPr="003505C0" w14:paraId="04C51566" w14:textId="77777777" w:rsidTr="009D1354">
        <w:trPr>
          <w:trHeight w:val="417"/>
        </w:trPr>
        <w:tc>
          <w:tcPr>
            <w:tcW w:w="3805" w:type="dxa"/>
            <w:tcBorders>
              <w:left w:val="single" w:sz="18" w:space="0" w:color="auto"/>
              <w:bottom w:val="single" w:sz="4" w:space="0" w:color="auto"/>
            </w:tcBorders>
            <w:shd w:val="clear" w:color="auto" w:fill="auto"/>
            <w:vAlign w:val="center"/>
          </w:tcPr>
          <w:p w14:paraId="1477A4EC"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 xml:space="preserve">MAP  </w:t>
            </w:r>
            <w:r w:rsidRPr="006A083A">
              <w:rPr>
                <w:rFonts w:ascii="Arial" w:hAnsi="Arial" w:cs="Arial"/>
                <w:i/>
                <w:sz w:val="18"/>
                <w:szCs w:val="21"/>
              </w:rPr>
              <w:t xml:space="preserve">(≥490 </w:t>
            </w:r>
            <w:proofErr w:type="spellStart"/>
            <w:r w:rsidRPr="006A083A">
              <w:rPr>
                <w:rFonts w:ascii="Arial" w:hAnsi="Arial" w:cs="Arial"/>
                <w:i/>
                <w:sz w:val="18"/>
                <w:szCs w:val="21"/>
              </w:rPr>
              <w:t>Language+Math</w:t>
            </w:r>
            <w:proofErr w:type="spellEnd"/>
            <w:r w:rsidRPr="006A083A">
              <w:rPr>
                <w:rFonts w:ascii="Arial" w:hAnsi="Arial" w:cs="Arial"/>
                <w:i/>
                <w:sz w:val="18"/>
                <w:szCs w:val="21"/>
              </w:rPr>
              <w:t xml:space="preserve"> Scores)</w:t>
            </w:r>
          </w:p>
        </w:tc>
        <w:tc>
          <w:tcPr>
            <w:tcW w:w="2610" w:type="dxa"/>
            <w:tcBorders>
              <w:bottom w:val="single" w:sz="4" w:space="0" w:color="auto"/>
            </w:tcBorders>
            <w:shd w:val="clear" w:color="auto" w:fill="auto"/>
            <w:vAlign w:val="center"/>
          </w:tcPr>
          <w:p w14:paraId="4CFEBD1D"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245</w:t>
            </w:r>
          </w:p>
        </w:tc>
        <w:tc>
          <w:tcPr>
            <w:tcW w:w="2783" w:type="dxa"/>
            <w:tcBorders>
              <w:bottom w:val="single" w:sz="4" w:space="0" w:color="auto"/>
              <w:right w:val="single" w:sz="18" w:space="0" w:color="auto"/>
            </w:tcBorders>
            <w:shd w:val="clear" w:color="auto" w:fill="auto"/>
            <w:vAlign w:val="center"/>
          </w:tcPr>
          <w:p w14:paraId="63A9D108" w14:textId="77777777" w:rsidR="006C2AAC" w:rsidRPr="007E2085" w:rsidRDefault="006C2AAC" w:rsidP="009D1354">
            <w:pPr>
              <w:jc w:val="center"/>
              <w:rPr>
                <w:rFonts w:ascii="Arial" w:hAnsi="Arial" w:cs="Arial"/>
                <w:color w:val="C00000"/>
                <w:sz w:val="21"/>
                <w:szCs w:val="21"/>
              </w:rPr>
            </w:pPr>
            <w:r w:rsidRPr="006A083A">
              <w:rPr>
                <w:rFonts w:ascii="Arial" w:hAnsi="Arial" w:cs="Arial"/>
                <w:sz w:val="21"/>
                <w:szCs w:val="21"/>
              </w:rPr>
              <w:t>265</w:t>
            </w:r>
          </w:p>
        </w:tc>
      </w:tr>
      <w:tr w:rsidR="006C2AAC" w:rsidRPr="003505C0" w14:paraId="52D67BCA" w14:textId="77777777" w:rsidTr="009D1354">
        <w:trPr>
          <w:trHeight w:val="417"/>
        </w:trPr>
        <w:tc>
          <w:tcPr>
            <w:tcW w:w="3805" w:type="dxa"/>
            <w:tcBorders>
              <w:left w:val="single" w:sz="18" w:space="0" w:color="auto"/>
              <w:bottom w:val="single" w:sz="4" w:space="0" w:color="auto"/>
            </w:tcBorders>
            <w:vAlign w:val="center"/>
          </w:tcPr>
          <w:p w14:paraId="17D29657"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Pre-ACT  (</w:t>
            </w:r>
            <w:r w:rsidRPr="006A083A">
              <w:rPr>
                <w:rFonts w:ascii="Arial" w:hAnsi="Arial" w:cs="Arial"/>
                <w:i/>
                <w:sz w:val="18"/>
                <w:szCs w:val="21"/>
              </w:rPr>
              <w:t>≥19 Composite Score)</w:t>
            </w:r>
          </w:p>
        </w:tc>
        <w:tc>
          <w:tcPr>
            <w:tcW w:w="2610" w:type="dxa"/>
            <w:tcBorders>
              <w:bottom w:val="single" w:sz="4" w:space="0" w:color="auto"/>
            </w:tcBorders>
            <w:vAlign w:val="center"/>
          </w:tcPr>
          <w:p w14:paraId="04DE487F"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18</w:t>
            </w:r>
          </w:p>
        </w:tc>
        <w:tc>
          <w:tcPr>
            <w:tcW w:w="2783" w:type="dxa"/>
            <w:tcBorders>
              <w:bottom w:val="single" w:sz="4" w:space="0" w:color="auto"/>
              <w:right w:val="single" w:sz="18" w:space="0" w:color="auto"/>
            </w:tcBorders>
            <w:vAlign w:val="center"/>
          </w:tcPr>
          <w:p w14:paraId="5E8FEF26" w14:textId="77777777" w:rsidR="006C2AAC" w:rsidRPr="003505C0" w:rsidRDefault="006C2AAC" w:rsidP="009D1354">
            <w:pPr>
              <w:jc w:val="center"/>
              <w:rPr>
                <w:rFonts w:ascii="Arial" w:hAnsi="Arial" w:cs="Arial"/>
                <w:sz w:val="21"/>
                <w:szCs w:val="21"/>
              </w:rPr>
            </w:pPr>
            <w:r>
              <w:rPr>
                <w:rFonts w:ascii="Arial" w:hAnsi="Arial" w:cs="Arial"/>
                <w:sz w:val="21"/>
                <w:szCs w:val="21"/>
              </w:rPr>
              <w:t>19</w:t>
            </w:r>
          </w:p>
        </w:tc>
      </w:tr>
      <w:tr w:rsidR="006C2AAC" w:rsidRPr="003505C0" w14:paraId="32F338F2" w14:textId="77777777" w:rsidTr="009D1354">
        <w:trPr>
          <w:trHeight w:val="417"/>
        </w:trPr>
        <w:tc>
          <w:tcPr>
            <w:tcW w:w="3805" w:type="dxa"/>
            <w:tcBorders>
              <w:left w:val="single" w:sz="18" w:space="0" w:color="auto"/>
              <w:bottom w:val="single" w:sz="4" w:space="0" w:color="auto"/>
            </w:tcBorders>
            <w:vAlign w:val="center"/>
          </w:tcPr>
          <w:p w14:paraId="0957DF4F"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Pre-SAT  (</w:t>
            </w:r>
            <w:r>
              <w:rPr>
                <w:rFonts w:ascii="Arial" w:hAnsi="Arial" w:cs="Arial"/>
                <w:i/>
                <w:sz w:val="18"/>
                <w:szCs w:val="21"/>
              </w:rPr>
              <w:t>≥101</w:t>
            </w:r>
            <w:r w:rsidRPr="006A083A">
              <w:rPr>
                <w:rFonts w:ascii="Arial" w:hAnsi="Arial" w:cs="Arial"/>
                <w:i/>
                <w:sz w:val="18"/>
                <w:szCs w:val="21"/>
              </w:rPr>
              <w:t>0 Total Score)</w:t>
            </w:r>
          </w:p>
        </w:tc>
        <w:tc>
          <w:tcPr>
            <w:tcW w:w="2610" w:type="dxa"/>
            <w:tcBorders>
              <w:bottom w:val="single" w:sz="4" w:space="0" w:color="auto"/>
            </w:tcBorders>
            <w:vAlign w:val="center"/>
          </w:tcPr>
          <w:p w14:paraId="0B1E94E5" w14:textId="77777777" w:rsidR="006C2AAC" w:rsidRPr="006A083A" w:rsidRDefault="006C2AAC" w:rsidP="009D1354">
            <w:pPr>
              <w:jc w:val="center"/>
              <w:rPr>
                <w:rFonts w:ascii="Arial" w:hAnsi="Arial" w:cs="Arial"/>
                <w:sz w:val="21"/>
                <w:szCs w:val="21"/>
              </w:rPr>
            </w:pPr>
            <w:r>
              <w:rPr>
                <w:rFonts w:ascii="Arial" w:hAnsi="Arial" w:cs="Arial"/>
                <w:sz w:val="21"/>
                <w:szCs w:val="21"/>
              </w:rPr>
              <w:t>500 ERW</w:t>
            </w:r>
          </w:p>
        </w:tc>
        <w:tc>
          <w:tcPr>
            <w:tcW w:w="2783" w:type="dxa"/>
            <w:tcBorders>
              <w:bottom w:val="single" w:sz="4" w:space="0" w:color="auto"/>
              <w:right w:val="single" w:sz="18" w:space="0" w:color="auto"/>
            </w:tcBorders>
            <w:vAlign w:val="center"/>
          </w:tcPr>
          <w:p w14:paraId="2F42DBB3" w14:textId="77777777" w:rsidR="006C2AAC" w:rsidRPr="003505C0" w:rsidRDefault="006C2AAC" w:rsidP="009D1354">
            <w:pPr>
              <w:jc w:val="center"/>
              <w:rPr>
                <w:rFonts w:ascii="Arial" w:hAnsi="Arial" w:cs="Arial"/>
                <w:sz w:val="21"/>
                <w:szCs w:val="21"/>
              </w:rPr>
            </w:pPr>
            <w:r>
              <w:rPr>
                <w:rFonts w:ascii="Arial" w:hAnsi="Arial" w:cs="Arial"/>
                <w:sz w:val="21"/>
                <w:szCs w:val="21"/>
              </w:rPr>
              <w:t>510</w:t>
            </w:r>
          </w:p>
        </w:tc>
      </w:tr>
      <w:tr w:rsidR="006C2AAC" w:rsidRPr="003505C0" w14:paraId="2FD1382E" w14:textId="77777777" w:rsidTr="009D1354">
        <w:trPr>
          <w:trHeight w:val="421"/>
        </w:trPr>
        <w:tc>
          <w:tcPr>
            <w:tcW w:w="3805" w:type="dxa"/>
            <w:tcBorders>
              <w:top w:val="single" w:sz="4" w:space="0" w:color="auto"/>
              <w:left w:val="single" w:sz="18" w:space="0" w:color="auto"/>
              <w:bottom w:val="single" w:sz="12" w:space="0" w:color="auto"/>
            </w:tcBorders>
            <w:vAlign w:val="center"/>
          </w:tcPr>
          <w:p w14:paraId="37DC6A5D"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EOC</w:t>
            </w:r>
          </w:p>
        </w:tc>
        <w:tc>
          <w:tcPr>
            <w:tcW w:w="2610" w:type="dxa"/>
            <w:tcBorders>
              <w:top w:val="single" w:sz="4" w:space="0" w:color="auto"/>
              <w:bottom w:val="single" w:sz="12" w:space="0" w:color="auto"/>
            </w:tcBorders>
            <w:vAlign w:val="center"/>
          </w:tcPr>
          <w:p w14:paraId="1DE95272" w14:textId="77777777" w:rsidR="006C2AAC" w:rsidRPr="006A083A" w:rsidRDefault="006C2AAC" w:rsidP="009D1354">
            <w:pPr>
              <w:jc w:val="center"/>
              <w:rPr>
                <w:rFonts w:ascii="Arial" w:hAnsi="Arial" w:cs="Arial"/>
                <w:sz w:val="21"/>
                <w:szCs w:val="21"/>
              </w:rPr>
            </w:pPr>
            <w:r w:rsidRPr="006A083A">
              <w:rPr>
                <w:rFonts w:ascii="Arial" w:hAnsi="Arial" w:cs="Arial"/>
                <w:sz w:val="21"/>
                <w:szCs w:val="21"/>
              </w:rPr>
              <w:t>English II: 740</w:t>
            </w:r>
          </w:p>
        </w:tc>
        <w:tc>
          <w:tcPr>
            <w:tcW w:w="2783" w:type="dxa"/>
            <w:tcBorders>
              <w:top w:val="single" w:sz="4" w:space="0" w:color="auto"/>
              <w:bottom w:val="single" w:sz="12" w:space="0" w:color="auto"/>
              <w:right w:val="single" w:sz="18" w:space="0" w:color="auto"/>
            </w:tcBorders>
            <w:vAlign w:val="center"/>
          </w:tcPr>
          <w:p w14:paraId="1B0C9F08" w14:textId="77777777" w:rsidR="006C2AAC" w:rsidRPr="003505C0" w:rsidRDefault="006C2AAC" w:rsidP="009D1354">
            <w:pPr>
              <w:jc w:val="center"/>
              <w:rPr>
                <w:rFonts w:ascii="Arial" w:hAnsi="Arial" w:cs="Arial"/>
                <w:sz w:val="21"/>
                <w:szCs w:val="21"/>
              </w:rPr>
            </w:pPr>
            <w:r w:rsidRPr="003505C0">
              <w:rPr>
                <w:rFonts w:ascii="Arial" w:hAnsi="Arial" w:cs="Arial"/>
                <w:sz w:val="21"/>
                <w:szCs w:val="21"/>
              </w:rPr>
              <w:t>Algebra I: 760, or</w:t>
            </w:r>
          </w:p>
          <w:p w14:paraId="4E3DB18C" w14:textId="77777777" w:rsidR="006C2AAC" w:rsidRPr="003505C0" w:rsidRDefault="006C2AAC" w:rsidP="009D1354">
            <w:pPr>
              <w:jc w:val="center"/>
              <w:rPr>
                <w:rFonts w:ascii="Arial" w:hAnsi="Arial" w:cs="Arial"/>
                <w:sz w:val="21"/>
                <w:szCs w:val="21"/>
              </w:rPr>
            </w:pPr>
            <w:r w:rsidRPr="003505C0">
              <w:rPr>
                <w:rFonts w:ascii="Arial" w:hAnsi="Arial" w:cs="Arial"/>
                <w:sz w:val="21"/>
                <w:szCs w:val="21"/>
              </w:rPr>
              <w:t>Geometry: 750</w:t>
            </w:r>
          </w:p>
        </w:tc>
      </w:tr>
      <w:tr w:rsidR="006C2AAC" w:rsidRPr="003505C0" w14:paraId="2F8DB8ED" w14:textId="77777777" w:rsidTr="009D1354">
        <w:trPr>
          <w:trHeight w:val="1279"/>
        </w:trPr>
        <w:tc>
          <w:tcPr>
            <w:tcW w:w="9198" w:type="dxa"/>
            <w:gridSpan w:val="3"/>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0864FAE8" w14:textId="77777777" w:rsidR="006C2AAC" w:rsidRPr="006A083A" w:rsidRDefault="006C2AAC" w:rsidP="009D1354">
            <w:pPr>
              <w:spacing w:after="60"/>
              <w:ind w:left="360" w:hanging="360"/>
              <w:rPr>
                <w:rFonts w:ascii="Arial" w:hAnsi="Arial" w:cs="Arial"/>
                <w:i/>
                <w:sz w:val="18"/>
                <w:szCs w:val="18"/>
              </w:rPr>
            </w:pPr>
            <w:r w:rsidRPr="006A083A">
              <w:rPr>
                <w:rFonts w:ascii="Arial" w:hAnsi="Arial" w:cs="Arial"/>
                <w:i/>
                <w:sz w:val="18"/>
                <w:szCs w:val="18"/>
              </w:rPr>
              <w:t>*</w:t>
            </w:r>
            <w:r w:rsidRPr="006A083A">
              <w:rPr>
                <w:rFonts w:ascii="Arial" w:hAnsi="Arial" w:cs="Arial"/>
                <w:i/>
                <w:sz w:val="18"/>
                <w:szCs w:val="18"/>
              </w:rPr>
              <w:tab/>
              <w:t xml:space="preserve">For College Algebra, &gt;20 ACT, 435 Aspire, 270 MAP, 22 Pre-ACT Math, 770 Algebra I EOC, or 760 Geometry EOC is recommended. </w:t>
            </w:r>
          </w:p>
          <w:p w14:paraId="24FA409E" w14:textId="77777777" w:rsidR="006C2AAC" w:rsidRPr="006A083A" w:rsidRDefault="006C2AAC" w:rsidP="009D1354">
            <w:pPr>
              <w:ind w:left="360" w:hanging="360"/>
              <w:rPr>
                <w:rFonts w:ascii="Arial" w:hAnsi="Arial" w:cs="Arial"/>
                <w:sz w:val="18"/>
                <w:szCs w:val="18"/>
              </w:rPr>
            </w:pPr>
            <w:r w:rsidRPr="006A083A">
              <w:rPr>
                <w:rFonts w:ascii="Arial" w:hAnsi="Arial" w:cs="Arial"/>
                <w:i/>
                <w:sz w:val="18"/>
                <w:szCs w:val="18"/>
              </w:rPr>
              <w:t xml:space="preserve">**   ASPIRE and Pre-ACT are predictive measures to aid in focusing HS instruction and </w:t>
            </w:r>
            <w:r w:rsidRPr="006A083A">
              <w:rPr>
                <w:rFonts w:ascii="Arial" w:hAnsi="Arial" w:cs="Arial"/>
                <w:i/>
                <w:sz w:val="18"/>
                <w:szCs w:val="18"/>
                <w:u w:val="single"/>
              </w:rPr>
              <w:t>do not</w:t>
            </w:r>
            <w:r w:rsidRPr="006A083A">
              <w:rPr>
                <w:rFonts w:ascii="Arial" w:hAnsi="Arial" w:cs="Arial"/>
                <w:i/>
                <w:sz w:val="18"/>
                <w:szCs w:val="18"/>
              </w:rPr>
              <w:t xml:space="preserve"> replace ACT. If a student has taken the ACT or SAT in HS, the ACT/SAT score must be used as the placement measure. </w:t>
            </w:r>
          </w:p>
        </w:tc>
      </w:tr>
    </w:tbl>
    <w:p w14:paraId="6AFC3988" w14:textId="77777777" w:rsidR="006C2AAC" w:rsidRPr="00C529D2" w:rsidRDefault="006C2AAC" w:rsidP="006C2AAC">
      <w:pPr>
        <w:rPr>
          <w:rFonts w:ascii="Arial" w:hAnsi="Arial" w:cs="Arial"/>
          <w:sz w:val="18"/>
        </w:rPr>
      </w:pPr>
    </w:p>
    <w:p w14:paraId="693803A6" w14:textId="77777777" w:rsidR="006C2AAC" w:rsidRPr="00530FFD" w:rsidRDefault="006C2AAC" w:rsidP="006C2AAC">
      <w:pPr>
        <w:spacing w:after="120"/>
        <w:rPr>
          <w:rFonts w:ascii="Arial" w:hAnsi="Arial" w:cs="Arial"/>
          <w:sz w:val="19"/>
          <w:szCs w:val="19"/>
        </w:rPr>
      </w:pPr>
      <w:r w:rsidRPr="00530FFD">
        <w:rPr>
          <w:rFonts w:ascii="Arial" w:hAnsi="Arial" w:cs="Arial"/>
          <w:sz w:val="19"/>
          <w:szCs w:val="19"/>
        </w:rPr>
        <w:t xml:space="preserve">In lieu of the instruments listed above, a college or university may propose its own alternate placement system, but such a system must be validated on the principle that students shall meet, at a minimum, the same level of academic achievement as would have been defined by equivalent scores on the ACT. Proposals for alternate placement systems, with corresponding data, must be presented to the BoR Office of Academic and Student Affairs for approval by the Board of Regents. </w:t>
      </w:r>
    </w:p>
    <w:p w14:paraId="24F0F137" w14:textId="77777777" w:rsidR="003145CF" w:rsidRPr="003505C0" w:rsidRDefault="006C2AAC" w:rsidP="00F90F83">
      <w:pPr>
        <w:rPr>
          <w:rFonts w:ascii="Arial" w:hAnsi="Arial" w:cs="Arial"/>
          <w:b/>
          <w:sz w:val="20"/>
        </w:rPr>
      </w:pPr>
      <w:r w:rsidRPr="006A083A">
        <w:rPr>
          <w:rFonts w:ascii="Arial" w:hAnsi="Arial" w:cs="Arial"/>
          <w:i/>
          <w:sz w:val="16"/>
        </w:rPr>
        <w:t>MAP = Measures of Academic Progress (Language Usage; Mathematics)</w:t>
      </w:r>
      <w:r>
        <w:rPr>
          <w:rFonts w:ascii="Arial" w:hAnsi="Arial" w:cs="Arial"/>
          <w:i/>
          <w:sz w:val="16"/>
        </w:rPr>
        <w:t>; SAT Score from 2018 Concordance.</w:t>
      </w:r>
    </w:p>
    <w:sectPr w:rsidR="003145CF" w:rsidRPr="003505C0" w:rsidSect="001F38ED">
      <w:footerReference w:type="default" r:id="rId11"/>
      <w:pgSz w:w="12240" w:h="15840"/>
      <w:pgMar w:top="540" w:right="1354" w:bottom="90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AF80" w14:textId="77777777" w:rsidR="002C27AA" w:rsidRDefault="002C27AA" w:rsidP="00E754D7">
      <w:r>
        <w:separator/>
      </w:r>
    </w:p>
  </w:endnote>
  <w:endnote w:type="continuationSeparator" w:id="0">
    <w:p w14:paraId="649777DF" w14:textId="77777777" w:rsidR="002C27AA" w:rsidRDefault="002C27AA" w:rsidP="00E7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C0EF" w14:textId="0D336718" w:rsidR="00E31107" w:rsidRPr="007A1303" w:rsidRDefault="007A1303" w:rsidP="00A91879">
    <w:pPr>
      <w:pStyle w:val="Footer"/>
      <w:jc w:val="right"/>
      <w:rPr>
        <w:rFonts w:ascii="Arial" w:hAnsi="Arial" w:cs="Arial"/>
        <w:sz w:val="18"/>
      </w:rPr>
    </w:pPr>
    <w:r w:rsidRPr="007A1303">
      <w:rPr>
        <w:rFonts w:ascii="Arial" w:hAnsi="Arial" w:cs="Arial"/>
        <w:sz w:val="18"/>
      </w:rPr>
      <w:t xml:space="preserve">Approved, LA Board of Regents, </w:t>
    </w:r>
    <w:r w:rsidR="00FE0E7B" w:rsidRPr="007A1303">
      <w:rPr>
        <w:rFonts w:ascii="Arial" w:hAnsi="Arial" w:cs="Arial"/>
        <w:sz w:val="18"/>
      </w:rPr>
      <w:t>11 Dec 2017</w:t>
    </w:r>
    <w:r w:rsidR="00A91879">
      <w:rPr>
        <w:rFonts w:ascii="Arial" w:hAnsi="Arial" w:cs="Arial"/>
        <w:sz w:val="18"/>
      </w:rPr>
      <w:t xml:space="preserve">; revised </w:t>
    </w:r>
    <w:r w:rsidR="00D23FBD">
      <w:rPr>
        <w:rFonts w:ascii="Arial" w:hAnsi="Arial" w:cs="Arial"/>
        <w:sz w:val="18"/>
      </w:rPr>
      <w:t xml:space="preserve">14 </w:t>
    </w:r>
    <w:r w:rsidR="00A91879">
      <w:rPr>
        <w:rFonts w:ascii="Arial" w:hAnsi="Arial" w:cs="Arial"/>
        <w:sz w:val="18"/>
      </w:rPr>
      <w:t>Jan 201</w:t>
    </w:r>
    <w:r w:rsidR="00D23FBD">
      <w:rPr>
        <w:rFonts w:ascii="Arial" w:hAnsi="Arial" w:cs="Arial"/>
        <w:sz w:val="18"/>
      </w:rPr>
      <w:t>9</w:t>
    </w:r>
    <w:r w:rsidR="005F7B47">
      <w:rPr>
        <w:rFonts w:ascii="Arial" w:hAnsi="Arial" w:cs="Arial"/>
        <w:sz w:val="18"/>
      </w:rPr>
      <w:t>; revised 16 Oct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120885064"/>
      <w:docPartObj>
        <w:docPartGallery w:val="Page Numbers (Bottom of Page)"/>
        <w:docPartUnique/>
      </w:docPartObj>
    </w:sdtPr>
    <w:sdtEndPr>
      <w:rPr>
        <w:sz w:val="17"/>
        <w:szCs w:val="17"/>
      </w:rPr>
    </w:sdtEndPr>
    <w:sdtContent>
      <w:p w14:paraId="1D61205F" w14:textId="4D45B72D" w:rsidR="00824593" w:rsidRPr="001F38ED" w:rsidRDefault="00A32EFF" w:rsidP="00824593">
        <w:pPr>
          <w:pStyle w:val="Footer"/>
          <w:jc w:val="right"/>
          <w:rPr>
            <w:rFonts w:ascii="Arial" w:hAnsi="Arial" w:cs="Arial"/>
            <w:sz w:val="17"/>
            <w:szCs w:val="17"/>
          </w:rPr>
        </w:pPr>
        <w:r w:rsidRPr="001F38ED">
          <w:rPr>
            <w:rFonts w:ascii="Arial" w:hAnsi="Arial" w:cs="Arial"/>
            <w:sz w:val="17"/>
            <w:szCs w:val="17"/>
          </w:rPr>
          <w:t xml:space="preserve">BoR Updated, </w:t>
        </w:r>
        <w:r w:rsidR="006C2AAC">
          <w:rPr>
            <w:rFonts w:ascii="Arial" w:hAnsi="Arial" w:cs="Arial"/>
            <w:sz w:val="17"/>
            <w:szCs w:val="17"/>
          </w:rPr>
          <w:t>31 October</w:t>
        </w:r>
        <w:r w:rsidRPr="001F38ED">
          <w:rPr>
            <w:rFonts w:ascii="Arial" w:hAnsi="Arial" w:cs="Arial"/>
            <w:sz w:val="17"/>
            <w:szCs w:val="17"/>
          </w:rPr>
          <w:t xml:space="preserve"> 2018</w:t>
        </w:r>
        <w:r w:rsidR="005F7B47">
          <w:rPr>
            <w:rFonts w:ascii="Arial" w:hAnsi="Arial" w:cs="Arial"/>
            <w:sz w:val="17"/>
            <w:szCs w:val="17"/>
          </w:rPr>
          <w:t>; revised 16 Oct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9162" w14:textId="77777777" w:rsidR="002C27AA" w:rsidRDefault="002C27AA" w:rsidP="00E754D7">
      <w:r>
        <w:separator/>
      </w:r>
    </w:p>
  </w:footnote>
  <w:footnote w:type="continuationSeparator" w:id="0">
    <w:p w14:paraId="6F2878B3" w14:textId="77777777" w:rsidR="002C27AA" w:rsidRDefault="002C27AA" w:rsidP="00E754D7">
      <w:r>
        <w:continuationSeparator/>
      </w:r>
    </w:p>
  </w:footnote>
  <w:footnote w:id="1">
    <w:p w14:paraId="579F2BA5" w14:textId="77777777" w:rsidR="00AD06B1" w:rsidRDefault="00AD06B1" w:rsidP="00AD06B1">
      <w:pPr>
        <w:pStyle w:val="FootnoteText"/>
      </w:pPr>
      <w:r>
        <w:rPr>
          <w:rStyle w:val="FootnoteReference"/>
        </w:rPr>
        <w:footnoteRef/>
      </w:r>
      <w:r>
        <w:t xml:space="preserve"> Minimum requirements are effective Fall 2018. Students who successfully completed (with grades ≥C) DE courses in the preceding semester </w:t>
      </w:r>
      <w:r w:rsidR="00C03F70">
        <w:t xml:space="preserve">(Spring or Summer 2018) </w:t>
      </w:r>
      <w:r>
        <w:t xml:space="preserve">may be </w:t>
      </w:r>
      <w:r w:rsidRPr="008428BA">
        <w:rPr>
          <w:i/>
        </w:rPr>
        <w:t>grandfathered</w:t>
      </w:r>
      <w:r>
        <w:t xml:space="preserve"> in to </w:t>
      </w:r>
      <w:r w:rsidRPr="008428BA">
        <w:t>continue</w:t>
      </w:r>
      <w:r>
        <w:t xml:space="preserve"> enrollment.</w:t>
      </w:r>
    </w:p>
  </w:footnote>
  <w:footnote w:id="2">
    <w:p w14:paraId="105A4225" w14:textId="77777777" w:rsidR="00E436AF" w:rsidRPr="007A1303" w:rsidRDefault="00AD06B1">
      <w:pPr>
        <w:rPr>
          <w:rFonts w:asciiTheme="minorHAnsi" w:hAnsiTheme="minorHAnsi" w:cstheme="minorHAnsi"/>
        </w:rPr>
      </w:pPr>
      <w:r w:rsidRPr="007A1303">
        <w:rPr>
          <w:rStyle w:val="FootnoteReference"/>
          <w:rFonts w:asciiTheme="minorHAnsi" w:hAnsiTheme="minorHAnsi" w:cstheme="minorHAnsi"/>
          <w:sz w:val="20"/>
        </w:rPr>
        <w:footnoteRef/>
      </w:r>
      <w:r w:rsidRPr="007A1303">
        <w:rPr>
          <w:rFonts w:asciiTheme="minorHAnsi" w:hAnsiTheme="minorHAnsi" w:cstheme="minorHAnsi"/>
          <w:sz w:val="20"/>
        </w:rPr>
        <w:t xml:space="preserve"> </w:t>
      </w:r>
      <w:r w:rsidR="006C08E3" w:rsidRPr="007A1303">
        <w:rPr>
          <w:rFonts w:asciiTheme="minorHAnsi" w:hAnsiTheme="minorHAnsi" w:cstheme="minorHAnsi"/>
          <w:sz w:val="20"/>
        </w:rPr>
        <w:t xml:space="preserve">Students who have not yet taken the ACT in high school may qualify via posted </w:t>
      </w:r>
      <w:r w:rsidR="006C08E3" w:rsidRPr="007A1303">
        <w:rPr>
          <w:rFonts w:asciiTheme="minorHAnsi" w:hAnsiTheme="minorHAnsi" w:cstheme="minorHAnsi"/>
          <w:i/>
          <w:sz w:val="20"/>
        </w:rPr>
        <w:t>Minimum Admission/Placement Score Guides</w:t>
      </w:r>
      <w:r w:rsidR="006C08E3" w:rsidRPr="007A1303">
        <w:rPr>
          <w:rFonts w:asciiTheme="minorHAnsi" w:hAnsiTheme="minorHAnsi" w:cstheme="minorHAnsi"/>
          <w:sz w:val="20"/>
        </w:rPr>
        <w:t>, e.g., Pre-ACT (18E, 19M), Aspire (433E, 431M) or EOC (740 E-II, 760 A-1, or 750G).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98"/>
    <w:multiLevelType w:val="multilevel"/>
    <w:tmpl w:val="C954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41B2D"/>
    <w:multiLevelType w:val="hybridMultilevel"/>
    <w:tmpl w:val="A96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5866"/>
    <w:multiLevelType w:val="hybridMultilevel"/>
    <w:tmpl w:val="3AC85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25F82"/>
    <w:multiLevelType w:val="hybridMultilevel"/>
    <w:tmpl w:val="48F0A1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11E5B"/>
    <w:multiLevelType w:val="hybridMultilevel"/>
    <w:tmpl w:val="5106CBA2"/>
    <w:lvl w:ilvl="0" w:tplc="B308CA98">
      <w:start w:val="6"/>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92A04"/>
    <w:multiLevelType w:val="multilevel"/>
    <w:tmpl w:val="121C1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F04C4"/>
    <w:multiLevelType w:val="hybridMultilevel"/>
    <w:tmpl w:val="04F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C246E"/>
    <w:multiLevelType w:val="hybridMultilevel"/>
    <w:tmpl w:val="A454D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568AA"/>
    <w:multiLevelType w:val="hybridMultilevel"/>
    <w:tmpl w:val="07F82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396C83"/>
    <w:multiLevelType w:val="hybridMultilevel"/>
    <w:tmpl w:val="4A841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F6653"/>
    <w:multiLevelType w:val="hybridMultilevel"/>
    <w:tmpl w:val="9ADC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423AB"/>
    <w:multiLevelType w:val="hybridMultilevel"/>
    <w:tmpl w:val="A62ED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0E5BA4"/>
    <w:multiLevelType w:val="hybridMultilevel"/>
    <w:tmpl w:val="62BC2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34E31"/>
    <w:multiLevelType w:val="hybridMultilevel"/>
    <w:tmpl w:val="4060346C"/>
    <w:lvl w:ilvl="0" w:tplc="C764BAA6">
      <w:start w:val="1"/>
      <w:numFmt w:val="upperLetter"/>
      <w:lvlText w:val="%1."/>
      <w:lvlJc w:val="left"/>
      <w:pPr>
        <w:ind w:left="720" w:hanging="360"/>
      </w:pPr>
      <w:rPr>
        <w:rFonts w:ascii="Arial" w:eastAsiaTheme="minorHAnsi" w:hAnsi="Arial" w:cs="Arial"/>
      </w:rPr>
    </w:lvl>
    <w:lvl w:ilvl="1" w:tplc="654EBA9A">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C0251"/>
    <w:multiLevelType w:val="hybridMultilevel"/>
    <w:tmpl w:val="0FB0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77FF2"/>
    <w:multiLevelType w:val="multilevel"/>
    <w:tmpl w:val="121C1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70006"/>
    <w:multiLevelType w:val="hybridMultilevel"/>
    <w:tmpl w:val="8004A21A"/>
    <w:lvl w:ilvl="0" w:tplc="6598DD90">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51666"/>
    <w:multiLevelType w:val="hybridMultilevel"/>
    <w:tmpl w:val="4060346C"/>
    <w:lvl w:ilvl="0" w:tplc="C764BAA6">
      <w:start w:val="1"/>
      <w:numFmt w:val="upperLetter"/>
      <w:lvlText w:val="%1."/>
      <w:lvlJc w:val="left"/>
      <w:pPr>
        <w:ind w:left="720" w:hanging="360"/>
      </w:pPr>
      <w:rPr>
        <w:rFonts w:ascii="Arial" w:eastAsiaTheme="minorHAnsi" w:hAnsi="Arial" w:cs="Arial"/>
      </w:rPr>
    </w:lvl>
    <w:lvl w:ilvl="1" w:tplc="654EBA9A">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97398"/>
    <w:multiLevelType w:val="hybridMultilevel"/>
    <w:tmpl w:val="48F0A1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7170D"/>
    <w:multiLevelType w:val="hybridMultilevel"/>
    <w:tmpl w:val="0742ECBC"/>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37C22"/>
    <w:multiLevelType w:val="hybridMultilevel"/>
    <w:tmpl w:val="C1B0F1D0"/>
    <w:lvl w:ilvl="0" w:tplc="E710FF7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2555F"/>
    <w:multiLevelType w:val="hybridMultilevel"/>
    <w:tmpl w:val="C1B0F1D0"/>
    <w:lvl w:ilvl="0" w:tplc="E710FF7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D223F"/>
    <w:multiLevelType w:val="multilevel"/>
    <w:tmpl w:val="0DAA8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1"/>
  </w:num>
  <w:num w:numId="8">
    <w:abstractNumId w:val="20"/>
  </w:num>
  <w:num w:numId="9">
    <w:abstractNumId w:val="13"/>
  </w:num>
  <w:num w:numId="10">
    <w:abstractNumId w:val="0"/>
  </w:num>
  <w:num w:numId="11">
    <w:abstractNumId w:val="5"/>
  </w:num>
  <w:num w:numId="12">
    <w:abstractNumId w:val="22"/>
  </w:num>
  <w:num w:numId="13">
    <w:abstractNumId w:val="15"/>
  </w:num>
  <w:num w:numId="14">
    <w:abstractNumId w:val="3"/>
  </w:num>
  <w:num w:numId="15">
    <w:abstractNumId w:val="2"/>
  </w:num>
  <w:num w:numId="16">
    <w:abstractNumId w:val="9"/>
  </w:num>
  <w:num w:numId="17">
    <w:abstractNumId w:val="18"/>
  </w:num>
  <w:num w:numId="18">
    <w:abstractNumId w:val="6"/>
  </w:num>
  <w:num w:numId="19">
    <w:abstractNumId w:val="16"/>
  </w:num>
  <w:num w:numId="20">
    <w:abstractNumId w:val="19"/>
  </w:num>
  <w:num w:numId="21">
    <w:abstractNumId w:val="7"/>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36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2F"/>
    <w:rsid w:val="00002AFC"/>
    <w:rsid w:val="00003223"/>
    <w:rsid w:val="00015E6D"/>
    <w:rsid w:val="00021C9D"/>
    <w:rsid w:val="000263DC"/>
    <w:rsid w:val="00032382"/>
    <w:rsid w:val="00032B19"/>
    <w:rsid w:val="00040917"/>
    <w:rsid w:val="00044841"/>
    <w:rsid w:val="00054BB6"/>
    <w:rsid w:val="00057E0D"/>
    <w:rsid w:val="00085C23"/>
    <w:rsid w:val="00093B5D"/>
    <w:rsid w:val="00094D6F"/>
    <w:rsid w:val="000A0464"/>
    <w:rsid w:val="000A70FF"/>
    <w:rsid w:val="000C4EFB"/>
    <w:rsid w:val="000C513A"/>
    <w:rsid w:val="000D0364"/>
    <w:rsid w:val="000D104F"/>
    <w:rsid w:val="000E0E33"/>
    <w:rsid w:val="000E158A"/>
    <w:rsid w:val="000E62AA"/>
    <w:rsid w:val="000F644D"/>
    <w:rsid w:val="00121D29"/>
    <w:rsid w:val="00131B16"/>
    <w:rsid w:val="00136396"/>
    <w:rsid w:val="001649D9"/>
    <w:rsid w:val="0017142D"/>
    <w:rsid w:val="001A100F"/>
    <w:rsid w:val="001A31A3"/>
    <w:rsid w:val="001D28F6"/>
    <w:rsid w:val="001E2FB7"/>
    <w:rsid w:val="001E401C"/>
    <w:rsid w:val="00200818"/>
    <w:rsid w:val="002021BC"/>
    <w:rsid w:val="00211F5D"/>
    <w:rsid w:val="002239C8"/>
    <w:rsid w:val="00224D10"/>
    <w:rsid w:val="00230C88"/>
    <w:rsid w:val="002354D6"/>
    <w:rsid w:val="00236856"/>
    <w:rsid w:val="00242512"/>
    <w:rsid w:val="0028134B"/>
    <w:rsid w:val="00290814"/>
    <w:rsid w:val="00296B65"/>
    <w:rsid w:val="002A240E"/>
    <w:rsid w:val="002B3E11"/>
    <w:rsid w:val="002C27AA"/>
    <w:rsid w:val="002D0DE9"/>
    <w:rsid w:val="002E30E3"/>
    <w:rsid w:val="00304AB1"/>
    <w:rsid w:val="003075D7"/>
    <w:rsid w:val="00313E99"/>
    <w:rsid w:val="003145CF"/>
    <w:rsid w:val="003505C0"/>
    <w:rsid w:val="003518E8"/>
    <w:rsid w:val="003562F2"/>
    <w:rsid w:val="00356FAE"/>
    <w:rsid w:val="00360F5E"/>
    <w:rsid w:val="00377DCE"/>
    <w:rsid w:val="00381577"/>
    <w:rsid w:val="00384DD0"/>
    <w:rsid w:val="003B1FBD"/>
    <w:rsid w:val="003C1E14"/>
    <w:rsid w:val="003C7507"/>
    <w:rsid w:val="003E5E2D"/>
    <w:rsid w:val="003F0F42"/>
    <w:rsid w:val="00423D88"/>
    <w:rsid w:val="0042514D"/>
    <w:rsid w:val="004335B1"/>
    <w:rsid w:val="00447CD9"/>
    <w:rsid w:val="00451CC3"/>
    <w:rsid w:val="00455614"/>
    <w:rsid w:val="00465442"/>
    <w:rsid w:val="00467966"/>
    <w:rsid w:val="00470278"/>
    <w:rsid w:val="004762E7"/>
    <w:rsid w:val="00483CF5"/>
    <w:rsid w:val="004879EA"/>
    <w:rsid w:val="00493505"/>
    <w:rsid w:val="004970C5"/>
    <w:rsid w:val="004A260F"/>
    <w:rsid w:val="004C7D43"/>
    <w:rsid w:val="004D19A1"/>
    <w:rsid w:val="004D6973"/>
    <w:rsid w:val="004F2266"/>
    <w:rsid w:val="005038DA"/>
    <w:rsid w:val="00515E48"/>
    <w:rsid w:val="00542A85"/>
    <w:rsid w:val="00550E96"/>
    <w:rsid w:val="00556BE7"/>
    <w:rsid w:val="005607A6"/>
    <w:rsid w:val="00570CB5"/>
    <w:rsid w:val="00584725"/>
    <w:rsid w:val="00584905"/>
    <w:rsid w:val="00592714"/>
    <w:rsid w:val="005A3F5D"/>
    <w:rsid w:val="005B4A95"/>
    <w:rsid w:val="005C1830"/>
    <w:rsid w:val="005C2B11"/>
    <w:rsid w:val="005C2CE0"/>
    <w:rsid w:val="005D1690"/>
    <w:rsid w:val="005D170A"/>
    <w:rsid w:val="005D70CB"/>
    <w:rsid w:val="005E482A"/>
    <w:rsid w:val="005F7B47"/>
    <w:rsid w:val="00602965"/>
    <w:rsid w:val="00606D1F"/>
    <w:rsid w:val="00614792"/>
    <w:rsid w:val="00624F12"/>
    <w:rsid w:val="006415BB"/>
    <w:rsid w:val="00654CE0"/>
    <w:rsid w:val="00657E54"/>
    <w:rsid w:val="0066117C"/>
    <w:rsid w:val="006705E3"/>
    <w:rsid w:val="0068426A"/>
    <w:rsid w:val="00686416"/>
    <w:rsid w:val="00687A3C"/>
    <w:rsid w:val="00692AF4"/>
    <w:rsid w:val="006A0B23"/>
    <w:rsid w:val="006C08E3"/>
    <w:rsid w:val="006C2AAC"/>
    <w:rsid w:val="006D1CA6"/>
    <w:rsid w:val="006D5BAC"/>
    <w:rsid w:val="006D6B3E"/>
    <w:rsid w:val="006E3D6C"/>
    <w:rsid w:val="00702820"/>
    <w:rsid w:val="0071333A"/>
    <w:rsid w:val="00715CE6"/>
    <w:rsid w:val="00716E5D"/>
    <w:rsid w:val="00723BCD"/>
    <w:rsid w:val="0073264E"/>
    <w:rsid w:val="00742072"/>
    <w:rsid w:val="00744388"/>
    <w:rsid w:val="00752FF8"/>
    <w:rsid w:val="00760FE3"/>
    <w:rsid w:val="007617B9"/>
    <w:rsid w:val="00762FBD"/>
    <w:rsid w:val="007733C0"/>
    <w:rsid w:val="00776186"/>
    <w:rsid w:val="00776C62"/>
    <w:rsid w:val="00777C3D"/>
    <w:rsid w:val="0079364E"/>
    <w:rsid w:val="007960DC"/>
    <w:rsid w:val="007A1303"/>
    <w:rsid w:val="007A78B3"/>
    <w:rsid w:val="007B28EE"/>
    <w:rsid w:val="007D1E1C"/>
    <w:rsid w:val="007D4A89"/>
    <w:rsid w:val="007F3692"/>
    <w:rsid w:val="007F5759"/>
    <w:rsid w:val="00802E65"/>
    <w:rsid w:val="00810488"/>
    <w:rsid w:val="00810762"/>
    <w:rsid w:val="00814862"/>
    <w:rsid w:val="00820E82"/>
    <w:rsid w:val="0082189C"/>
    <w:rsid w:val="0085722A"/>
    <w:rsid w:val="0086470C"/>
    <w:rsid w:val="00864A69"/>
    <w:rsid w:val="00867A6F"/>
    <w:rsid w:val="00871725"/>
    <w:rsid w:val="0089238E"/>
    <w:rsid w:val="00892CFD"/>
    <w:rsid w:val="0089697E"/>
    <w:rsid w:val="008D6946"/>
    <w:rsid w:val="008D758E"/>
    <w:rsid w:val="008E3A2F"/>
    <w:rsid w:val="008E3DB0"/>
    <w:rsid w:val="00915197"/>
    <w:rsid w:val="00921FCE"/>
    <w:rsid w:val="009222E5"/>
    <w:rsid w:val="00923D99"/>
    <w:rsid w:val="00926870"/>
    <w:rsid w:val="00934571"/>
    <w:rsid w:val="00946093"/>
    <w:rsid w:val="00973A36"/>
    <w:rsid w:val="00973BA4"/>
    <w:rsid w:val="009775F3"/>
    <w:rsid w:val="00980A1C"/>
    <w:rsid w:val="00993A9F"/>
    <w:rsid w:val="009B5ECE"/>
    <w:rsid w:val="009C5389"/>
    <w:rsid w:val="009D265F"/>
    <w:rsid w:val="009D6E45"/>
    <w:rsid w:val="009E19D4"/>
    <w:rsid w:val="009E5E9B"/>
    <w:rsid w:val="009E6303"/>
    <w:rsid w:val="009F44F1"/>
    <w:rsid w:val="00A013BF"/>
    <w:rsid w:val="00A015ED"/>
    <w:rsid w:val="00A023D8"/>
    <w:rsid w:val="00A10D05"/>
    <w:rsid w:val="00A14FE3"/>
    <w:rsid w:val="00A32EFF"/>
    <w:rsid w:val="00A35A7C"/>
    <w:rsid w:val="00A370AF"/>
    <w:rsid w:val="00A401CF"/>
    <w:rsid w:val="00A50E98"/>
    <w:rsid w:val="00A50FBC"/>
    <w:rsid w:val="00A51C97"/>
    <w:rsid w:val="00A52922"/>
    <w:rsid w:val="00A66559"/>
    <w:rsid w:val="00A66719"/>
    <w:rsid w:val="00A70BC2"/>
    <w:rsid w:val="00A7180C"/>
    <w:rsid w:val="00A76AC8"/>
    <w:rsid w:val="00A8174E"/>
    <w:rsid w:val="00A91879"/>
    <w:rsid w:val="00AB18AE"/>
    <w:rsid w:val="00AB4A4D"/>
    <w:rsid w:val="00AB7624"/>
    <w:rsid w:val="00AC56AD"/>
    <w:rsid w:val="00AD02CF"/>
    <w:rsid w:val="00AD06B1"/>
    <w:rsid w:val="00AE49C8"/>
    <w:rsid w:val="00AE67A7"/>
    <w:rsid w:val="00AF6677"/>
    <w:rsid w:val="00B000B9"/>
    <w:rsid w:val="00B000F9"/>
    <w:rsid w:val="00B36207"/>
    <w:rsid w:val="00B37772"/>
    <w:rsid w:val="00B37CC8"/>
    <w:rsid w:val="00B467C4"/>
    <w:rsid w:val="00B472C6"/>
    <w:rsid w:val="00B56F52"/>
    <w:rsid w:val="00B66942"/>
    <w:rsid w:val="00B702BD"/>
    <w:rsid w:val="00B73E40"/>
    <w:rsid w:val="00B76FF4"/>
    <w:rsid w:val="00B87E23"/>
    <w:rsid w:val="00BA6D4C"/>
    <w:rsid w:val="00BB3B02"/>
    <w:rsid w:val="00BB71FC"/>
    <w:rsid w:val="00BD50B8"/>
    <w:rsid w:val="00BE2306"/>
    <w:rsid w:val="00BF2D10"/>
    <w:rsid w:val="00BF4657"/>
    <w:rsid w:val="00BF6A13"/>
    <w:rsid w:val="00C03F70"/>
    <w:rsid w:val="00C2189E"/>
    <w:rsid w:val="00C27CD6"/>
    <w:rsid w:val="00C301A8"/>
    <w:rsid w:val="00C31885"/>
    <w:rsid w:val="00C344E6"/>
    <w:rsid w:val="00C379A0"/>
    <w:rsid w:val="00C40A42"/>
    <w:rsid w:val="00C41D95"/>
    <w:rsid w:val="00C4412B"/>
    <w:rsid w:val="00C44564"/>
    <w:rsid w:val="00C64E30"/>
    <w:rsid w:val="00C65282"/>
    <w:rsid w:val="00C738E5"/>
    <w:rsid w:val="00C74162"/>
    <w:rsid w:val="00C84851"/>
    <w:rsid w:val="00C85252"/>
    <w:rsid w:val="00C864A5"/>
    <w:rsid w:val="00C9765E"/>
    <w:rsid w:val="00CA0A00"/>
    <w:rsid w:val="00CB0C68"/>
    <w:rsid w:val="00CB1A96"/>
    <w:rsid w:val="00CB5B41"/>
    <w:rsid w:val="00CC16A5"/>
    <w:rsid w:val="00CC21C8"/>
    <w:rsid w:val="00CC4136"/>
    <w:rsid w:val="00CD6A6F"/>
    <w:rsid w:val="00CD7445"/>
    <w:rsid w:val="00CE1D54"/>
    <w:rsid w:val="00CF3602"/>
    <w:rsid w:val="00CF7345"/>
    <w:rsid w:val="00D0494F"/>
    <w:rsid w:val="00D14555"/>
    <w:rsid w:val="00D23FBD"/>
    <w:rsid w:val="00D42BAF"/>
    <w:rsid w:val="00D47298"/>
    <w:rsid w:val="00D514F6"/>
    <w:rsid w:val="00D83434"/>
    <w:rsid w:val="00D83D08"/>
    <w:rsid w:val="00D8615C"/>
    <w:rsid w:val="00D861CD"/>
    <w:rsid w:val="00D86C65"/>
    <w:rsid w:val="00D93B57"/>
    <w:rsid w:val="00D97B5D"/>
    <w:rsid w:val="00DA12C3"/>
    <w:rsid w:val="00DA16AF"/>
    <w:rsid w:val="00DA550E"/>
    <w:rsid w:val="00DC1A87"/>
    <w:rsid w:val="00DC2755"/>
    <w:rsid w:val="00DC6FEF"/>
    <w:rsid w:val="00DC7127"/>
    <w:rsid w:val="00DD176B"/>
    <w:rsid w:val="00DD375C"/>
    <w:rsid w:val="00DD6048"/>
    <w:rsid w:val="00DD6C45"/>
    <w:rsid w:val="00DD7A2C"/>
    <w:rsid w:val="00DE04CE"/>
    <w:rsid w:val="00DE4CCE"/>
    <w:rsid w:val="00DF1CA8"/>
    <w:rsid w:val="00DF5332"/>
    <w:rsid w:val="00E11A69"/>
    <w:rsid w:val="00E1290D"/>
    <w:rsid w:val="00E140E5"/>
    <w:rsid w:val="00E3250C"/>
    <w:rsid w:val="00E36F14"/>
    <w:rsid w:val="00E436AF"/>
    <w:rsid w:val="00E52F41"/>
    <w:rsid w:val="00E60C6C"/>
    <w:rsid w:val="00E62924"/>
    <w:rsid w:val="00E738FE"/>
    <w:rsid w:val="00E754D7"/>
    <w:rsid w:val="00E83843"/>
    <w:rsid w:val="00E92BBF"/>
    <w:rsid w:val="00EB4247"/>
    <w:rsid w:val="00EB556D"/>
    <w:rsid w:val="00EC6E7F"/>
    <w:rsid w:val="00ED3641"/>
    <w:rsid w:val="00ED746B"/>
    <w:rsid w:val="00EE4BDB"/>
    <w:rsid w:val="00EF0507"/>
    <w:rsid w:val="00EF0709"/>
    <w:rsid w:val="00EF0786"/>
    <w:rsid w:val="00F0105A"/>
    <w:rsid w:val="00F074AA"/>
    <w:rsid w:val="00F07D75"/>
    <w:rsid w:val="00F300F0"/>
    <w:rsid w:val="00F34E9B"/>
    <w:rsid w:val="00F41292"/>
    <w:rsid w:val="00F45D18"/>
    <w:rsid w:val="00F467AB"/>
    <w:rsid w:val="00F52A7F"/>
    <w:rsid w:val="00F6035F"/>
    <w:rsid w:val="00F675DD"/>
    <w:rsid w:val="00F72721"/>
    <w:rsid w:val="00F747B2"/>
    <w:rsid w:val="00F74A57"/>
    <w:rsid w:val="00F76BF3"/>
    <w:rsid w:val="00F90F83"/>
    <w:rsid w:val="00F9430E"/>
    <w:rsid w:val="00FA305E"/>
    <w:rsid w:val="00FA5A03"/>
    <w:rsid w:val="00FB1188"/>
    <w:rsid w:val="00FB188D"/>
    <w:rsid w:val="00FB4F50"/>
    <w:rsid w:val="00FB792F"/>
    <w:rsid w:val="00FC1154"/>
    <w:rsid w:val="00FC434E"/>
    <w:rsid w:val="00FD475B"/>
    <w:rsid w:val="00FE0C7E"/>
    <w:rsid w:val="00FE0E7B"/>
    <w:rsid w:val="00FE681E"/>
    <w:rsid w:val="00FF1691"/>
    <w:rsid w:val="00FF22EC"/>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0B338"/>
  <w15:docId w15:val="{7C26F018-7E9E-4C85-A404-0B6FF33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D7"/>
    <w:pPr>
      <w:tabs>
        <w:tab w:val="center" w:pos="4680"/>
        <w:tab w:val="right" w:pos="9360"/>
      </w:tabs>
    </w:pPr>
  </w:style>
  <w:style w:type="paragraph" w:customStyle="1" w:styleId="Outline0011">
    <w:name w:val="Outline001_1"/>
    <w:basedOn w:val="Normal"/>
    <w:rsid w:val="00171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rsid w:val="001714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rsid w:val="0017142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rsid w:val="0017142D"/>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rsid w:val="0017142D"/>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rsid w:val="0017142D"/>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rsid w:val="0017142D"/>
    <w:pPr>
      <w:widowControl w:val="0"/>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rsid w:val="0017142D"/>
    <w:pPr>
      <w:widowControl w:val="0"/>
      <w:tabs>
        <w:tab w:val="left" w:pos="5760"/>
        <w:tab w:val="left" w:pos="6480"/>
        <w:tab w:val="left" w:pos="7200"/>
        <w:tab w:val="left" w:pos="7920"/>
        <w:tab w:val="left" w:pos="8640"/>
      </w:tabs>
      <w:ind w:left="5760" w:hanging="360"/>
    </w:pPr>
  </w:style>
  <w:style w:type="paragraph" w:customStyle="1" w:styleId="Outline0019">
    <w:name w:val="Outline001_9"/>
    <w:basedOn w:val="Normal"/>
    <w:rsid w:val="0017142D"/>
    <w:pPr>
      <w:widowControl w:val="0"/>
      <w:ind w:hanging="180"/>
    </w:pPr>
  </w:style>
  <w:style w:type="paragraph" w:customStyle="1" w:styleId="26">
    <w:name w:val="_26"/>
    <w:basedOn w:val="Normal"/>
    <w:rsid w:val="0017142D"/>
    <w:pPr>
      <w:widowControl w:val="0"/>
    </w:pPr>
  </w:style>
  <w:style w:type="paragraph" w:customStyle="1" w:styleId="25">
    <w:name w:val="_25"/>
    <w:basedOn w:val="Normal"/>
    <w:rsid w:val="001714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7142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17142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17142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17142D"/>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17142D"/>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17142D"/>
    <w:pPr>
      <w:widowControl w:val="0"/>
      <w:tabs>
        <w:tab w:val="left" w:pos="5760"/>
        <w:tab w:val="left" w:pos="6480"/>
        <w:tab w:val="left" w:pos="7200"/>
        <w:tab w:val="left" w:pos="7920"/>
        <w:tab w:val="left" w:pos="8640"/>
      </w:tabs>
      <w:ind w:left="5760"/>
    </w:pPr>
  </w:style>
  <w:style w:type="paragraph" w:customStyle="1" w:styleId="18">
    <w:name w:val="_18"/>
    <w:basedOn w:val="Normal"/>
    <w:rsid w:val="0017142D"/>
    <w:pPr>
      <w:widowControl w:val="0"/>
      <w:tabs>
        <w:tab w:val="left" w:pos="6480"/>
        <w:tab w:val="left" w:pos="7200"/>
        <w:tab w:val="left" w:pos="7920"/>
        <w:tab w:val="left" w:pos="8640"/>
      </w:tabs>
      <w:ind w:left="6480"/>
    </w:pPr>
  </w:style>
  <w:style w:type="paragraph" w:customStyle="1" w:styleId="17">
    <w:name w:val="_17"/>
    <w:basedOn w:val="Normal"/>
    <w:rsid w:val="00171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1714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7142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17142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17142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17142D"/>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17142D"/>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17142D"/>
    <w:pPr>
      <w:widowControl w:val="0"/>
      <w:tabs>
        <w:tab w:val="left" w:pos="5760"/>
        <w:tab w:val="left" w:pos="6480"/>
        <w:tab w:val="left" w:pos="7200"/>
        <w:tab w:val="left" w:pos="7920"/>
        <w:tab w:val="left" w:pos="8640"/>
      </w:tabs>
      <w:ind w:left="5760"/>
    </w:pPr>
  </w:style>
  <w:style w:type="paragraph" w:customStyle="1" w:styleId="9">
    <w:name w:val="_9"/>
    <w:basedOn w:val="Normal"/>
    <w:rsid w:val="0017142D"/>
    <w:pPr>
      <w:widowControl w:val="0"/>
      <w:tabs>
        <w:tab w:val="left" w:pos="6480"/>
        <w:tab w:val="left" w:pos="7200"/>
        <w:tab w:val="left" w:pos="7920"/>
        <w:tab w:val="left" w:pos="8640"/>
      </w:tabs>
      <w:ind w:left="6480"/>
    </w:pPr>
  </w:style>
  <w:style w:type="paragraph" w:customStyle="1" w:styleId="8">
    <w:name w:val="_8"/>
    <w:basedOn w:val="Normal"/>
    <w:rsid w:val="00171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1714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7142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17142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17142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17142D"/>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17142D"/>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17142D"/>
    <w:pPr>
      <w:widowControl w:val="0"/>
      <w:tabs>
        <w:tab w:val="left" w:pos="5760"/>
        <w:tab w:val="left" w:pos="6480"/>
        <w:tab w:val="left" w:pos="7200"/>
        <w:tab w:val="left" w:pos="7920"/>
        <w:tab w:val="left" w:pos="8640"/>
      </w:tabs>
      <w:ind w:left="5760"/>
    </w:pPr>
  </w:style>
  <w:style w:type="paragraph" w:customStyle="1" w:styleId="a">
    <w:name w:val="_"/>
    <w:basedOn w:val="Normal"/>
    <w:rsid w:val="0017142D"/>
    <w:pPr>
      <w:widowControl w:val="0"/>
      <w:tabs>
        <w:tab w:val="left" w:pos="6480"/>
        <w:tab w:val="left" w:pos="7200"/>
        <w:tab w:val="left" w:pos="7920"/>
        <w:tab w:val="left" w:pos="8640"/>
      </w:tabs>
      <w:ind w:left="6480"/>
    </w:pPr>
  </w:style>
  <w:style w:type="character" w:customStyle="1" w:styleId="DefaultPara">
    <w:name w:val="Default Para"/>
    <w:basedOn w:val="DefaultParagraphFont"/>
    <w:rsid w:val="0017142D"/>
  </w:style>
  <w:style w:type="character" w:customStyle="1" w:styleId="HeaderChar">
    <w:name w:val="Header Char"/>
    <w:basedOn w:val="DefaultParagraphFont"/>
    <w:link w:val="Header"/>
    <w:uiPriority w:val="99"/>
    <w:rsid w:val="00E754D7"/>
    <w:rPr>
      <w:sz w:val="24"/>
    </w:rPr>
  </w:style>
  <w:style w:type="paragraph" w:styleId="Footer">
    <w:name w:val="footer"/>
    <w:basedOn w:val="Normal"/>
    <w:link w:val="FooterChar"/>
    <w:uiPriority w:val="99"/>
    <w:unhideWhenUsed/>
    <w:rsid w:val="00E754D7"/>
    <w:pPr>
      <w:tabs>
        <w:tab w:val="center" w:pos="4680"/>
        <w:tab w:val="right" w:pos="9360"/>
      </w:tabs>
    </w:pPr>
  </w:style>
  <w:style w:type="character" w:customStyle="1" w:styleId="FooterChar">
    <w:name w:val="Footer Char"/>
    <w:basedOn w:val="DefaultParagraphFont"/>
    <w:link w:val="Footer"/>
    <w:uiPriority w:val="99"/>
    <w:rsid w:val="00E754D7"/>
    <w:rPr>
      <w:sz w:val="24"/>
    </w:rPr>
  </w:style>
  <w:style w:type="paragraph" w:styleId="ListParagraph">
    <w:name w:val="List Paragraph"/>
    <w:basedOn w:val="Normal"/>
    <w:uiPriority w:val="34"/>
    <w:qFormat/>
    <w:rsid w:val="00CC21C8"/>
    <w:pPr>
      <w:widowControl w:val="0"/>
      <w:spacing w:after="200" w:line="276" w:lineRule="auto"/>
      <w:ind w:left="720"/>
      <w:contextualSpacing/>
    </w:pPr>
    <w:rPr>
      <w:rFonts w:asciiTheme="minorHAnsi" w:eastAsiaTheme="minorHAnsi" w:hAnsiTheme="minorHAnsi" w:cstheme="minorBidi"/>
      <w:sz w:val="22"/>
      <w:szCs w:val="22"/>
    </w:rPr>
  </w:style>
  <w:style w:type="paragraph" w:customStyle="1" w:styleId="00002">
    <w:name w:val="00002"/>
    <w:basedOn w:val="Normal"/>
    <w:rsid w:val="0071333A"/>
    <w:pPr>
      <w:spacing w:line="280" w:lineRule="atLeast"/>
      <w:ind w:firstLine="720"/>
    </w:pPr>
    <w:rPr>
      <w:szCs w:val="24"/>
    </w:rPr>
  </w:style>
  <w:style w:type="paragraph" w:styleId="BalloonText">
    <w:name w:val="Balloon Text"/>
    <w:basedOn w:val="Normal"/>
    <w:link w:val="BalloonTextChar"/>
    <w:uiPriority w:val="99"/>
    <w:semiHidden/>
    <w:unhideWhenUsed/>
    <w:rsid w:val="00015E6D"/>
    <w:rPr>
      <w:rFonts w:ascii="Tahoma" w:hAnsi="Tahoma" w:cs="Tahoma"/>
      <w:sz w:val="16"/>
      <w:szCs w:val="16"/>
    </w:rPr>
  </w:style>
  <w:style w:type="character" w:customStyle="1" w:styleId="BalloonTextChar">
    <w:name w:val="Balloon Text Char"/>
    <w:basedOn w:val="DefaultParagraphFont"/>
    <w:link w:val="BalloonText"/>
    <w:uiPriority w:val="99"/>
    <w:semiHidden/>
    <w:rsid w:val="00015E6D"/>
    <w:rPr>
      <w:rFonts w:ascii="Tahoma" w:hAnsi="Tahoma" w:cs="Tahoma"/>
      <w:sz w:val="16"/>
      <w:szCs w:val="16"/>
    </w:rPr>
  </w:style>
  <w:style w:type="paragraph" w:styleId="NormalWeb">
    <w:name w:val="Normal (Web)"/>
    <w:basedOn w:val="Normal"/>
    <w:uiPriority w:val="99"/>
    <w:unhideWhenUsed/>
    <w:rsid w:val="00FB4F50"/>
    <w:pPr>
      <w:spacing w:before="100" w:beforeAutospacing="1" w:after="100" w:afterAutospacing="1"/>
    </w:pPr>
    <w:rPr>
      <w:szCs w:val="24"/>
    </w:rPr>
  </w:style>
  <w:style w:type="paragraph" w:customStyle="1" w:styleId="NoSpacing1">
    <w:name w:val="No Spacing1"/>
    <w:uiPriority w:val="1"/>
    <w:qFormat/>
    <w:rsid w:val="00FB4F50"/>
    <w:rPr>
      <w:rFonts w:ascii="Calibri" w:eastAsia="Calibri" w:hAnsi="Calibri"/>
      <w:sz w:val="22"/>
      <w:szCs w:val="22"/>
    </w:rPr>
  </w:style>
  <w:style w:type="paragraph" w:customStyle="1" w:styleId="Default">
    <w:name w:val="Default"/>
    <w:rsid w:val="00FB4F50"/>
    <w:pPr>
      <w:autoSpaceDE w:val="0"/>
      <w:autoSpaceDN w:val="0"/>
      <w:adjustRightInd w:val="0"/>
    </w:pPr>
    <w:rPr>
      <w:rFonts w:eastAsia="Calibri"/>
      <w:color w:val="000000"/>
      <w:sz w:val="24"/>
      <w:szCs w:val="24"/>
    </w:rPr>
  </w:style>
  <w:style w:type="character" w:styleId="Hyperlink">
    <w:name w:val="Hyperlink"/>
    <w:basedOn w:val="DefaultParagraphFont"/>
    <w:uiPriority w:val="99"/>
    <w:semiHidden/>
    <w:unhideWhenUsed/>
    <w:rsid w:val="00360F5E"/>
    <w:rPr>
      <w:color w:val="0000FF" w:themeColor="hyperlink"/>
      <w:u w:val="single"/>
    </w:rPr>
  </w:style>
  <w:style w:type="table" w:styleId="TableGrid">
    <w:name w:val="Table Grid"/>
    <w:basedOn w:val="TableNormal"/>
    <w:uiPriority w:val="59"/>
    <w:rsid w:val="00360F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0A00"/>
    <w:rPr>
      <w:color w:val="800080" w:themeColor="followedHyperlink"/>
      <w:u w:val="single"/>
    </w:rPr>
  </w:style>
  <w:style w:type="paragraph" w:customStyle="1" w:styleId="a0003">
    <w:name w:val="a0003"/>
    <w:basedOn w:val="Normal"/>
    <w:rsid w:val="00EC6E7F"/>
    <w:pPr>
      <w:spacing w:line="280" w:lineRule="atLeast"/>
      <w:ind w:firstLine="720"/>
    </w:pPr>
    <w:rPr>
      <w:szCs w:val="24"/>
    </w:rPr>
  </w:style>
  <w:style w:type="character" w:styleId="FootnoteReference">
    <w:name w:val="footnote reference"/>
    <w:uiPriority w:val="99"/>
    <w:rsid w:val="00723BCD"/>
  </w:style>
  <w:style w:type="paragraph" w:customStyle="1" w:styleId="Level1">
    <w:name w:val="Level 1"/>
    <w:basedOn w:val="Normal"/>
    <w:uiPriority w:val="99"/>
    <w:rsid w:val="00723BCD"/>
    <w:pPr>
      <w:widowControl w:val="0"/>
      <w:tabs>
        <w:tab w:val="num" w:pos="360"/>
      </w:tabs>
      <w:autoSpaceDE w:val="0"/>
      <w:autoSpaceDN w:val="0"/>
      <w:adjustRightInd w:val="0"/>
      <w:ind w:left="1440" w:hanging="720"/>
      <w:outlineLvl w:val="0"/>
    </w:pPr>
    <w:rPr>
      <w:rFonts w:eastAsiaTheme="minorEastAsia"/>
      <w:szCs w:val="24"/>
    </w:rPr>
  </w:style>
  <w:style w:type="paragraph" w:styleId="FootnoteText">
    <w:name w:val="footnote text"/>
    <w:basedOn w:val="Normal"/>
    <w:link w:val="FootnoteTextChar"/>
    <w:uiPriority w:val="99"/>
    <w:semiHidden/>
    <w:unhideWhenUsed/>
    <w:rsid w:val="00AD06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D06B1"/>
    <w:rPr>
      <w:rFonts w:asciiTheme="minorHAnsi" w:eastAsiaTheme="minorHAnsi" w:hAnsiTheme="minorHAnsi" w:cstheme="minorBidi"/>
    </w:rPr>
  </w:style>
  <w:style w:type="paragraph" w:customStyle="1" w:styleId="m7859254919242565606msolistparagraph">
    <w:name w:val="m_7859254919242565606msolistparagraph"/>
    <w:basedOn w:val="Normal"/>
    <w:rsid w:val="009B5ECE"/>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4567">
      <w:bodyDiv w:val="1"/>
      <w:marLeft w:val="0"/>
      <w:marRight w:val="0"/>
      <w:marTop w:val="0"/>
      <w:marBottom w:val="0"/>
      <w:divBdr>
        <w:top w:val="none" w:sz="0" w:space="0" w:color="auto"/>
        <w:left w:val="none" w:sz="0" w:space="0" w:color="auto"/>
        <w:bottom w:val="none" w:sz="0" w:space="0" w:color="auto"/>
        <w:right w:val="none" w:sz="0" w:space="0" w:color="auto"/>
      </w:divBdr>
    </w:div>
    <w:div w:id="776800343">
      <w:bodyDiv w:val="1"/>
      <w:marLeft w:val="0"/>
      <w:marRight w:val="0"/>
      <w:marTop w:val="0"/>
      <w:marBottom w:val="0"/>
      <w:divBdr>
        <w:top w:val="none" w:sz="0" w:space="0" w:color="auto"/>
        <w:left w:val="none" w:sz="0" w:space="0" w:color="auto"/>
        <w:bottom w:val="none" w:sz="0" w:space="0" w:color="auto"/>
        <w:right w:val="none" w:sz="0" w:space="0" w:color="auto"/>
      </w:divBdr>
    </w:div>
    <w:div w:id="1108155465">
      <w:bodyDiv w:val="1"/>
      <w:marLeft w:val="0"/>
      <w:marRight w:val="0"/>
      <w:marTop w:val="0"/>
      <w:marBottom w:val="0"/>
      <w:divBdr>
        <w:top w:val="none" w:sz="0" w:space="0" w:color="auto"/>
        <w:left w:val="none" w:sz="0" w:space="0" w:color="auto"/>
        <w:bottom w:val="none" w:sz="0" w:space="0" w:color="auto"/>
        <w:right w:val="none" w:sz="0" w:space="0" w:color="auto"/>
      </w:divBdr>
    </w:div>
    <w:div w:id="1141800433">
      <w:bodyDiv w:val="1"/>
      <w:marLeft w:val="0"/>
      <w:marRight w:val="0"/>
      <w:marTop w:val="0"/>
      <w:marBottom w:val="0"/>
      <w:divBdr>
        <w:top w:val="none" w:sz="0" w:space="0" w:color="auto"/>
        <w:left w:val="none" w:sz="0" w:space="0" w:color="auto"/>
        <w:bottom w:val="none" w:sz="0" w:space="0" w:color="auto"/>
        <w:right w:val="none" w:sz="0" w:space="0" w:color="auto"/>
      </w:divBdr>
      <w:divsChild>
        <w:div w:id="566182718">
          <w:marLeft w:val="0"/>
          <w:marRight w:val="0"/>
          <w:marTop w:val="0"/>
          <w:marBottom w:val="0"/>
          <w:divBdr>
            <w:top w:val="none" w:sz="0" w:space="0" w:color="auto"/>
            <w:left w:val="none" w:sz="0" w:space="0" w:color="auto"/>
            <w:bottom w:val="none" w:sz="0" w:space="0" w:color="auto"/>
            <w:right w:val="none" w:sz="0" w:space="0" w:color="auto"/>
          </w:divBdr>
          <w:divsChild>
            <w:div w:id="462236175">
              <w:marLeft w:val="0"/>
              <w:marRight w:val="0"/>
              <w:marTop w:val="0"/>
              <w:marBottom w:val="0"/>
              <w:divBdr>
                <w:top w:val="none" w:sz="0" w:space="0" w:color="auto"/>
                <w:left w:val="none" w:sz="0" w:space="0" w:color="auto"/>
                <w:bottom w:val="none" w:sz="0" w:space="0" w:color="auto"/>
                <w:right w:val="none" w:sz="0" w:space="0" w:color="auto"/>
              </w:divBdr>
              <w:divsChild>
                <w:div w:id="98449259">
                  <w:marLeft w:val="3750"/>
                  <w:marRight w:val="750"/>
                  <w:marTop w:val="450"/>
                  <w:marBottom w:val="0"/>
                  <w:divBdr>
                    <w:top w:val="none" w:sz="0" w:space="0" w:color="auto"/>
                    <w:left w:val="none" w:sz="0" w:space="0" w:color="auto"/>
                    <w:bottom w:val="none" w:sz="0" w:space="0" w:color="auto"/>
                    <w:right w:val="none" w:sz="0" w:space="0" w:color="auto"/>
                  </w:divBdr>
                  <w:divsChild>
                    <w:div w:id="85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9040">
      <w:bodyDiv w:val="1"/>
      <w:marLeft w:val="0"/>
      <w:marRight w:val="0"/>
      <w:marTop w:val="0"/>
      <w:marBottom w:val="0"/>
      <w:divBdr>
        <w:top w:val="none" w:sz="0" w:space="0" w:color="auto"/>
        <w:left w:val="none" w:sz="0" w:space="0" w:color="auto"/>
        <w:bottom w:val="none" w:sz="0" w:space="0" w:color="auto"/>
        <w:right w:val="none" w:sz="0" w:space="0" w:color="auto"/>
      </w:divBdr>
    </w:div>
    <w:div w:id="1577402654">
      <w:bodyDiv w:val="1"/>
      <w:marLeft w:val="0"/>
      <w:marRight w:val="0"/>
      <w:marTop w:val="0"/>
      <w:marBottom w:val="0"/>
      <w:divBdr>
        <w:top w:val="none" w:sz="0" w:space="0" w:color="auto"/>
        <w:left w:val="none" w:sz="0" w:space="0" w:color="auto"/>
        <w:bottom w:val="none" w:sz="0" w:space="0" w:color="auto"/>
        <w:right w:val="none" w:sz="0" w:space="0" w:color="auto"/>
      </w:divBdr>
      <w:divsChild>
        <w:div w:id="981278357">
          <w:marLeft w:val="0"/>
          <w:marRight w:val="0"/>
          <w:marTop w:val="0"/>
          <w:marBottom w:val="0"/>
          <w:divBdr>
            <w:top w:val="none" w:sz="0" w:space="0" w:color="auto"/>
            <w:left w:val="none" w:sz="0" w:space="0" w:color="auto"/>
            <w:bottom w:val="none" w:sz="0" w:space="0" w:color="auto"/>
            <w:right w:val="none" w:sz="0" w:space="0" w:color="auto"/>
          </w:divBdr>
        </w:div>
      </w:divsChild>
    </w:div>
    <w:div w:id="2037581441">
      <w:bodyDiv w:val="1"/>
      <w:marLeft w:val="0"/>
      <w:marRight w:val="0"/>
      <w:marTop w:val="0"/>
      <w:marBottom w:val="0"/>
      <w:divBdr>
        <w:top w:val="none" w:sz="0" w:space="0" w:color="auto"/>
        <w:left w:val="none" w:sz="0" w:space="0" w:color="auto"/>
        <w:bottom w:val="none" w:sz="0" w:space="0" w:color="auto"/>
        <w:right w:val="none" w:sz="0" w:space="0" w:color="auto"/>
      </w:divBdr>
    </w:div>
    <w:div w:id="2103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2D07-6B8E-44BF-B016-97263ECE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 Board of Regents</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 Scott</dc:creator>
  <cp:lastModifiedBy>Lupe Lamadrid</cp:lastModifiedBy>
  <cp:revision>2</cp:revision>
  <cp:lastPrinted>2019-01-15T14:51:00Z</cp:lastPrinted>
  <dcterms:created xsi:type="dcterms:W3CDTF">2019-10-16T16:09:00Z</dcterms:created>
  <dcterms:modified xsi:type="dcterms:W3CDTF">2019-10-16T16:09:00Z</dcterms:modified>
</cp:coreProperties>
</file>